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000" w:rsidRPr="00840000" w:rsidRDefault="009C5CE8" w:rsidP="00FE5662">
      <w:pPr>
        <w:spacing w:after="160" w:line="259" w:lineRule="auto"/>
        <w:jc w:val="center"/>
        <w:rPr>
          <w:b/>
          <w:color w:val="000000" w:themeColor="text1"/>
        </w:rPr>
      </w:pPr>
      <w:r w:rsidRPr="00840000">
        <w:rPr>
          <w:b/>
          <w:color w:val="000000" w:themeColor="text1"/>
        </w:rPr>
        <w:t>Supplemental Information</w:t>
      </w:r>
      <w:r w:rsidR="009B61AB" w:rsidRPr="00840000">
        <w:rPr>
          <w:b/>
          <w:color w:val="000000" w:themeColor="text1"/>
        </w:rPr>
        <w:t>:</w:t>
      </w:r>
    </w:p>
    <w:p w:rsidR="009B61AB" w:rsidRDefault="009B61AB" w:rsidP="00FE5662">
      <w:pPr>
        <w:pStyle w:val="EndNoteBibliography"/>
        <w:spacing w:after="120"/>
        <w:jc w:val="center"/>
        <w:rPr>
          <w:b/>
          <w:color w:val="000000" w:themeColor="text1"/>
        </w:rPr>
      </w:pPr>
      <w:r w:rsidRPr="00840000">
        <w:rPr>
          <w:b/>
          <w:color w:val="000000" w:themeColor="text1"/>
        </w:rPr>
        <w:t>Detailed methodology for creating NOx air quality transfer coefficients</w:t>
      </w:r>
    </w:p>
    <w:p w:rsidR="009C5CE8" w:rsidRDefault="009C5CE8" w:rsidP="009C5CE8">
      <w:pPr>
        <w:spacing w:line="360" w:lineRule="auto"/>
        <w:ind w:firstLine="720"/>
        <w:rPr>
          <w:color w:val="000000" w:themeColor="text1"/>
        </w:rPr>
      </w:pPr>
      <w:r>
        <w:rPr>
          <w:color w:val="000000" w:themeColor="text1"/>
        </w:rPr>
        <w:t>To estimate the</w:t>
      </w:r>
      <w:r w:rsidRPr="00DA4525">
        <w:rPr>
          <w:color w:val="000000" w:themeColor="text1"/>
        </w:rPr>
        <w:t xml:space="preserve"> transfer coefficients</w:t>
      </w:r>
      <w:r>
        <w:rPr>
          <w:color w:val="000000" w:themeColor="text1"/>
        </w:rPr>
        <w:t>,</w:t>
      </w:r>
      <w:r w:rsidRPr="00DA4525">
        <w:rPr>
          <w:color w:val="000000" w:themeColor="text1"/>
        </w:rPr>
        <w:t xml:space="preserve"> </w:t>
      </w:r>
      <w:r>
        <w:rPr>
          <w:color w:val="000000" w:themeColor="text1"/>
        </w:rPr>
        <w:t xml:space="preserve">written as </w:t>
      </w:r>
      <w:r w:rsidRPr="00DA4525">
        <w:rPr>
          <w:color w:val="000000" w:themeColor="text1"/>
          <w:position w:val="-14"/>
        </w:rPr>
        <w:object w:dxaOrig="420" w:dyaOrig="380" w14:anchorId="563CAD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85pt;height:17.85pt" o:ole="">
            <v:imagedata r:id="rId8" o:title=""/>
          </v:shape>
          <o:OLEObject Type="Embed" ProgID="Equation.DSMT4" ShapeID="_x0000_i1025" DrawAspect="Content" ObjectID="_1546331780" r:id="rId9"/>
        </w:object>
      </w:r>
      <w:r>
        <w:rPr>
          <w:color w:val="000000" w:themeColor="text1"/>
        </w:rPr>
        <w:t xml:space="preserve">(or </w:t>
      </w:r>
      <w:r w:rsidRPr="00BE1426">
        <w:rPr>
          <w:color w:val="000000" w:themeColor="text1"/>
          <w:position w:val="-14"/>
        </w:rPr>
        <w:object w:dxaOrig="520" w:dyaOrig="380" w14:anchorId="70E9318A">
          <v:shape id="_x0000_i1026" type="#_x0000_t75" style="width:24.2pt;height:17.85pt" o:ole="">
            <v:imagedata r:id="rId10" o:title=""/>
          </v:shape>
          <o:OLEObject Type="Embed" ProgID="Equation.DSMT4" ShapeID="_x0000_i1026" DrawAspect="Content" ObjectID="_1546331781" r:id="rId11"/>
        </w:object>
      </w:r>
      <w:r>
        <w:rPr>
          <w:color w:val="000000" w:themeColor="text1"/>
        </w:rPr>
        <w:t xml:space="preserve">) in the model above, </w:t>
      </w:r>
      <w:r w:rsidRPr="00DA4525">
        <w:rPr>
          <w:color w:val="000000" w:themeColor="text1"/>
        </w:rPr>
        <w:t xml:space="preserve">we </w:t>
      </w:r>
      <w:r w:rsidR="009B61AB">
        <w:rPr>
          <w:color w:val="000000" w:themeColor="text1"/>
        </w:rPr>
        <w:t>leveraged</w:t>
      </w:r>
      <w:r w:rsidRPr="00DA4525">
        <w:rPr>
          <w:color w:val="000000" w:themeColor="text1"/>
        </w:rPr>
        <w:t xml:space="preserve"> a series of 19 photochemical emissions sensitivity model simulations </w:t>
      </w:r>
      <w:r>
        <w:rPr>
          <w:color w:val="000000" w:themeColor="text1"/>
        </w:rPr>
        <w:t xml:space="preserve">(Table </w:t>
      </w:r>
      <w:r w:rsidR="009B61AB">
        <w:rPr>
          <w:color w:val="000000" w:themeColor="text1"/>
        </w:rPr>
        <w:t>S-1</w:t>
      </w:r>
      <w:r>
        <w:rPr>
          <w:color w:val="000000" w:themeColor="text1"/>
        </w:rPr>
        <w:t xml:space="preserve">), </w:t>
      </w:r>
      <w:r w:rsidR="00EC7626">
        <w:rPr>
          <w:color w:val="000000" w:themeColor="text1"/>
        </w:rPr>
        <w:t>available from</w:t>
      </w:r>
      <w:r w:rsidR="00674EE3">
        <w:rPr>
          <w:color w:val="000000" w:themeColor="text1"/>
        </w:rPr>
        <w:t xml:space="preserve"> </w:t>
      </w:r>
      <w:r w:rsidR="00674EE3">
        <w:rPr>
          <w:color w:val="000000" w:themeColor="text1"/>
        </w:rPr>
        <w:fldChar w:fldCharType="begin"/>
      </w:r>
      <w:r w:rsidR="004C57A3">
        <w:rPr>
          <w:color w:val="000000" w:themeColor="text1"/>
        </w:rPr>
        <w:instrText xml:space="preserve"> ADDIN EN.CITE &lt;EndNote&gt;&lt;Cite&gt;&lt;Author&gt;U.S. EPA&lt;/Author&gt;&lt;Year&gt;2015&lt;/Year&gt;&lt;RecNum&gt;1144&lt;/RecNum&gt;&lt;DisplayText&gt;(U.S. EPA, 2015b)&lt;/DisplayText&gt;&lt;record&gt;&lt;rec-number&gt;1144&lt;/rec-number&gt;&lt;foreign-keys&gt;&lt;key app="EN" db-id="dp2r5xtw9xfdfzevrr152tsaeadpxz2wptwr" timestamp="1447358626"&gt;1144&lt;/key&gt;&lt;/foreign-keys&gt;&lt;ref-type name="Government Document"&gt;46&lt;/ref-type&gt;&lt;contributors&gt;&lt;authors&gt;&lt;author&gt;U.S. EPA,&lt;/author&gt;&lt;/authors&gt;&lt;/contributors&gt;&lt;titles&gt;&lt;title&gt;Regulatory Impact Analysis of the Final Revisions to the National Ambient Air Quality Standards for Ground-Level Ozone&lt;/title&gt;&lt;/titles&gt;&lt;dates&gt;&lt;year&gt;2015&lt;/year&gt;&lt;/dates&gt;&lt;pub-location&gt;Research Triangle Park, NC&lt;/pub-location&gt;&lt;publisher&gt;Office of Air Quality Planning and Standards&lt;/publisher&gt;&lt;urls&gt;&lt;related-urls&gt;&lt;url&gt;http://www.epa.gov/airquality/ozonepollution/pdfs/20141125ria.pdf&lt;/url&gt;&lt;/related-urls&gt;&lt;/urls&gt;&lt;access-date&gt;11/2015&lt;/access-date&gt;&lt;/record&gt;&lt;/Cite&gt;&lt;/EndNote&gt;</w:instrText>
      </w:r>
      <w:r w:rsidR="00674EE3">
        <w:rPr>
          <w:color w:val="000000" w:themeColor="text1"/>
        </w:rPr>
        <w:fldChar w:fldCharType="separate"/>
      </w:r>
      <w:r w:rsidR="004C57A3">
        <w:rPr>
          <w:noProof/>
          <w:color w:val="000000" w:themeColor="text1"/>
        </w:rPr>
        <w:t>(</w:t>
      </w:r>
      <w:hyperlink w:anchor="_ENREF_2_3" w:tooltip="U.S. EPA, 2015 #1144" w:history="1">
        <w:r w:rsidR="009F196C">
          <w:rPr>
            <w:noProof/>
            <w:color w:val="000000" w:themeColor="text1"/>
          </w:rPr>
          <w:t>U.S. EPA, 2015b</w:t>
        </w:r>
      </w:hyperlink>
      <w:r w:rsidR="004C57A3">
        <w:rPr>
          <w:noProof/>
          <w:color w:val="000000" w:themeColor="text1"/>
        </w:rPr>
        <w:t>)</w:t>
      </w:r>
      <w:r w:rsidR="00674EE3">
        <w:rPr>
          <w:color w:val="000000" w:themeColor="text1"/>
        </w:rPr>
        <w:fldChar w:fldCharType="end"/>
      </w:r>
      <w:r>
        <w:rPr>
          <w:color w:val="000000" w:themeColor="text1"/>
        </w:rPr>
        <w:t xml:space="preserve">. </w:t>
      </w:r>
      <w:r w:rsidR="009B61AB">
        <w:rPr>
          <w:color w:val="000000" w:themeColor="text1"/>
        </w:rPr>
        <w:t>The</w:t>
      </w:r>
      <w:r w:rsidR="00EC7626">
        <w:rPr>
          <w:color w:val="000000" w:themeColor="text1"/>
        </w:rPr>
        <w:t>se</w:t>
      </w:r>
      <w:r w:rsidR="009B61AB">
        <w:rPr>
          <w:color w:val="000000" w:themeColor="text1"/>
        </w:rPr>
        <w:t xml:space="preserve"> simulations</w:t>
      </w:r>
      <w:r w:rsidRPr="00DA4525">
        <w:rPr>
          <w:color w:val="000000" w:themeColor="text1"/>
        </w:rPr>
        <w:t xml:space="preserve"> perturbed projected 2025 NO</w:t>
      </w:r>
      <w:r w:rsidRPr="00DA4525">
        <w:rPr>
          <w:color w:val="000000" w:themeColor="text1"/>
          <w:vertAlign w:val="subscript"/>
        </w:rPr>
        <w:t>X</w:t>
      </w:r>
      <w:r w:rsidRPr="00DA4525">
        <w:rPr>
          <w:color w:val="000000" w:themeColor="text1"/>
        </w:rPr>
        <w:t xml:space="preserve"> or VOC emissions inputs in different ways for each simulatio</w:t>
      </w:r>
      <w:r w:rsidRPr="00077A53">
        <w:rPr>
          <w:color w:val="000000" w:themeColor="text1"/>
        </w:rPr>
        <w:t>n</w:t>
      </w:r>
      <w:r>
        <w:rPr>
          <w:color w:val="000000" w:themeColor="text1"/>
        </w:rPr>
        <w:t xml:space="preserve"> </w:t>
      </w:r>
      <w:r w:rsidR="009B61AB">
        <w:rPr>
          <w:color w:val="000000" w:themeColor="text1"/>
        </w:rPr>
        <w:t>providing information on</w:t>
      </w:r>
      <w:r>
        <w:rPr>
          <w:color w:val="000000" w:themeColor="text1"/>
        </w:rPr>
        <w:t xml:space="preserve"> the responsiveness of ozone concentrations at monitors to regional emissions reductions</w:t>
      </w:r>
      <w:r w:rsidRPr="00DA4525">
        <w:rPr>
          <w:color w:val="000000" w:themeColor="text1"/>
        </w:rPr>
        <w:t xml:space="preserve">. </w:t>
      </w:r>
      <w:r>
        <w:rPr>
          <w:color w:val="000000" w:themeColor="text1"/>
        </w:rPr>
        <w:t xml:space="preserve">Where the </w:t>
      </w:r>
      <w:r w:rsidRPr="00DA4525">
        <w:rPr>
          <w:color w:val="000000" w:themeColor="text1"/>
        </w:rPr>
        <w:t>NO</w:t>
      </w:r>
      <w:r w:rsidRPr="00DA4525">
        <w:rPr>
          <w:color w:val="000000" w:themeColor="text1"/>
          <w:vertAlign w:val="subscript"/>
        </w:rPr>
        <w:t>X</w:t>
      </w:r>
      <w:r w:rsidRPr="00DA4525">
        <w:rPr>
          <w:color w:val="000000" w:themeColor="text1"/>
        </w:rPr>
        <w:t xml:space="preserve"> or VOC </w:t>
      </w:r>
      <w:r>
        <w:rPr>
          <w:color w:val="000000" w:themeColor="text1"/>
        </w:rPr>
        <w:t xml:space="preserve">emissions sensitivity regions spanned multiple states (as indicated by the regions in Table </w:t>
      </w:r>
      <w:r w:rsidR="00EC7626">
        <w:rPr>
          <w:color w:val="000000" w:themeColor="text1"/>
        </w:rPr>
        <w:t>S-1</w:t>
      </w:r>
      <w:r>
        <w:rPr>
          <w:color w:val="000000" w:themeColor="text1"/>
        </w:rPr>
        <w:t>), we used information from source apportionment modeling to estimate state-level transfer coefficients.</w:t>
      </w:r>
    </w:p>
    <w:p w:rsidR="009C5CE8" w:rsidRDefault="009C5CE8" w:rsidP="009C5CE8">
      <w:pPr>
        <w:pStyle w:val="Caption"/>
        <w:spacing w:after="0"/>
        <w:rPr>
          <w:b/>
          <w:i w:val="0"/>
          <w:color w:val="000000" w:themeColor="text1"/>
          <w:sz w:val="24"/>
        </w:rPr>
      </w:pPr>
      <w:r>
        <w:rPr>
          <w:b/>
          <w:i w:val="0"/>
          <w:color w:val="000000" w:themeColor="text1"/>
          <w:sz w:val="24"/>
        </w:rPr>
        <w:t xml:space="preserve">Table </w:t>
      </w:r>
      <w:r w:rsidR="009B61AB">
        <w:rPr>
          <w:b/>
          <w:i w:val="0"/>
          <w:color w:val="000000" w:themeColor="text1"/>
          <w:sz w:val="24"/>
        </w:rPr>
        <w:t>S-1</w:t>
      </w:r>
    </w:p>
    <w:p w:rsidR="009C5CE8" w:rsidRPr="000C344F" w:rsidRDefault="009C5CE8" w:rsidP="009C5CE8">
      <w:pPr>
        <w:pStyle w:val="Caption"/>
        <w:spacing w:after="0"/>
        <w:rPr>
          <w:b/>
          <w:i w:val="0"/>
          <w:color w:val="000000" w:themeColor="text1"/>
          <w:sz w:val="24"/>
        </w:rPr>
      </w:pPr>
      <w:r w:rsidRPr="002575E2">
        <w:rPr>
          <w:i w:val="0"/>
          <w:color w:val="000000" w:themeColor="text1"/>
          <w:sz w:val="24"/>
        </w:rPr>
        <w:t xml:space="preserve">Photochemical model simulations used to </w:t>
      </w:r>
      <w:r>
        <w:rPr>
          <w:i w:val="0"/>
          <w:color w:val="000000" w:themeColor="text1"/>
          <w:sz w:val="24"/>
        </w:rPr>
        <w:t>estimate</w:t>
      </w:r>
      <w:r w:rsidRPr="002575E2">
        <w:rPr>
          <w:i w:val="0"/>
          <w:color w:val="000000" w:themeColor="text1"/>
          <w:sz w:val="24"/>
        </w:rPr>
        <w:t xml:space="preserve"> air quality transfer coefficients. All emissions reductions are relative to the projected 2025 emissions.</w:t>
      </w:r>
    </w:p>
    <w:tbl>
      <w:tblPr>
        <w:tblW w:w="4301" w:type="pct"/>
        <w:tblLook w:val="04A0" w:firstRow="1" w:lastRow="0" w:firstColumn="1" w:lastColumn="0" w:noHBand="0" w:noVBand="1"/>
      </w:tblPr>
      <w:tblGrid>
        <w:gridCol w:w="1150"/>
        <w:gridCol w:w="3743"/>
        <w:gridCol w:w="3038"/>
        <w:gridCol w:w="1116"/>
      </w:tblGrid>
      <w:tr w:rsidR="009C5CE8" w:rsidRPr="00DA4525" w:rsidTr="00F03239">
        <w:trPr>
          <w:trHeight w:val="474"/>
          <w:tblHeader/>
        </w:trPr>
        <w:tc>
          <w:tcPr>
            <w:tcW w:w="688" w:type="pct"/>
            <w:tcBorders>
              <w:top w:val="double" w:sz="6" w:space="0" w:color="auto"/>
              <w:left w:val="nil"/>
              <w:bottom w:val="single" w:sz="8" w:space="0" w:color="auto"/>
              <w:right w:val="nil"/>
            </w:tcBorders>
            <w:shd w:val="clear" w:color="auto" w:fill="auto"/>
            <w:vAlign w:val="bottom"/>
            <w:hideMark/>
          </w:tcPr>
          <w:p w:rsidR="009C5CE8" w:rsidRPr="00DA4525" w:rsidRDefault="009C5CE8" w:rsidP="00F03239">
            <w:pPr>
              <w:jc w:val="center"/>
              <w:rPr>
                <w:rFonts w:eastAsia="Times New Roman"/>
                <w:b/>
                <w:bCs/>
                <w:color w:val="000000" w:themeColor="text1"/>
                <w:sz w:val="20"/>
                <w:szCs w:val="20"/>
              </w:rPr>
            </w:pPr>
            <w:r w:rsidRPr="00DA4525">
              <w:rPr>
                <w:rFonts w:eastAsia="Times New Roman"/>
                <w:b/>
                <w:bCs/>
                <w:color w:val="000000" w:themeColor="text1"/>
                <w:sz w:val="20"/>
                <w:szCs w:val="20"/>
              </w:rPr>
              <w:t>Simulation</w:t>
            </w:r>
          </w:p>
          <w:p w:rsidR="009C5CE8" w:rsidRPr="00DA4525" w:rsidRDefault="009C5CE8" w:rsidP="00F03239">
            <w:pPr>
              <w:jc w:val="center"/>
              <w:rPr>
                <w:rFonts w:eastAsia="Times New Roman"/>
                <w:b/>
                <w:bCs/>
                <w:color w:val="000000" w:themeColor="text1"/>
                <w:sz w:val="20"/>
                <w:szCs w:val="20"/>
              </w:rPr>
            </w:pPr>
            <w:r>
              <w:rPr>
                <w:rFonts w:eastAsia="Times New Roman"/>
                <w:b/>
                <w:bCs/>
                <w:color w:val="000000" w:themeColor="text1"/>
                <w:sz w:val="20"/>
                <w:szCs w:val="20"/>
              </w:rPr>
              <w:t>no.</w:t>
            </w:r>
          </w:p>
        </w:tc>
        <w:tc>
          <w:tcPr>
            <w:tcW w:w="2000" w:type="pct"/>
            <w:tcBorders>
              <w:top w:val="double" w:sz="6" w:space="0" w:color="auto"/>
              <w:left w:val="nil"/>
              <w:bottom w:val="single" w:sz="8" w:space="0" w:color="auto"/>
              <w:right w:val="nil"/>
            </w:tcBorders>
            <w:shd w:val="clear" w:color="auto" w:fill="auto"/>
            <w:vAlign w:val="bottom"/>
            <w:hideMark/>
          </w:tcPr>
          <w:p w:rsidR="009C5CE8" w:rsidRDefault="009C5CE8" w:rsidP="00F03239">
            <w:pPr>
              <w:jc w:val="center"/>
              <w:rPr>
                <w:rFonts w:eastAsia="Times New Roman"/>
                <w:b/>
                <w:bCs/>
                <w:color w:val="000000" w:themeColor="text1"/>
                <w:sz w:val="20"/>
                <w:szCs w:val="20"/>
              </w:rPr>
            </w:pPr>
            <w:r>
              <w:rPr>
                <w:rFonts w:eastAsia="Times New Roman"/>
                <w:b/>
                <w:bCs/>
                <w:color w:val="000000" w:themeColor="text1"/>
                <w:sz w:val="20"/>
                <w:szCs w:val="20"/>
              </w:rPr>
              <w:t xml:space="preserve">Region over which </w:t>
            </w:r>
          </w:p>
          <w:p w:rsidR="009C5CE8" w:rsidRPr="00DA4525" w:rsidRDefault="009C5CE8" w:rsidP="00F03239">
            <w:pPr>
              <w:jc w:val="center"/>
              <w:rPr>
                <w:rFonts w:eastAsia="Times New Roman"/>
                <w:b/>
                <w:bCs/>
                <w:color w:val="000000" w:themeColor="text1"/>
                <w:sz w:val="20"/>
                <w:szCs w:val="20"/>
              </w:rPr>
            </w:pPr>
            <w:r>
              <w:rPr>
                <w:rFonts w:eastAsia="Times New Roman"/>
                <w:b/>
                <w:bCs/>
                <w:color w:val="000000" w:themeColor="text1"/>
                <w:sz w:val="20"/>
                <w:szCs w:val="20"/>
              </w:rPr>
              <w:t>emissions reductions were a</w:t>
            </w:r>
            <w:r w:rsidRPr="00DA4525">
              <w:rPr>
                <w:rFonts w:eastAsia="Times New Roman"/>
                <w:b/>
                <w:bCs/>
                <w:color w:val="000000" w:themeColor="text1"/>
                <w:sz w:val="20"/>
                <w:szCs w:val="20"/>
              </w:rPr>
              <w:t>pplied</w:t>
            </w:r>
            <w:r>
              <w:rPr>
                <w:rFonts w:eastAsia="Times New Roman"/>
                <w:b/>
                <w:bCs/>
                <w:color w:val="000000" w:themeColor="text1"/>
                <w:sz w:val="20"/>
                <w:szCs w:val="20"/>
              </w:rPr>
              <w:t xml:space="preserve"> (emissions sensitivity regions)</w:t>
            </w:r>
            <w:r w:rsidRPr="00DA4525">
              <w:rPr>
                <w:rFonts w:eastAsia="Times New Roman"/>
                <w:b/>
                <w:bCs/>
                <w:color w:val="000000" w:themeColor="text1"/>
                <w:sz w:val="20"/>
                <w:szCs w:val="20"/>
              </w:rPr>
              <w:t xml:space="preserve"> </w:t>
            </w:r>
          </w:p>
        </w:tc>
        <w:tc>
          <w:tcPr>
            <w:tcW w:w="1623" w:type="pct"/>
            <w:tcBorders>
              <w:top w:val="double" w:sz="6" w:space="0" w:color="auto"/>
              <w:left w:val="nil"/>
              <w:bottom w:val="single" w:sz="8" w:space="0" w:color="auto"/>
              <w:right w:val="nil"/>
            </w:tcBorders>
            <w:shd w:val="clear" w:color="auto" w:fill="auto"/>
            <w:vAlign w:val="bottom"/>
            <w:hideMark/>
          </w:tcPr>
          <w:p w:rsidR="009C5CE8" w:rsidRDefault="009C5CE8" w:rsidP="00F03239">
            <w:pPr>
              <w:jc w:val="center"/>
              <w:rPr>
                <w:rFonts w:eastAsia="Times New Roman"/>
                <w:b/>
                <w:bCs/>
                <w:color w:val="000000" w:themeColor="text1"/>
                <w:sz w:val="20"/>
                <w:szCs w:val="20"/>
              </w:rPr>
            </w:pPr>
            <w:r w:rsidRPr="00DA4525">
              <w:rPr>
                <w:rFonts w:eastAsia="Times New Roman"/>
                <w:b/>
                <w:bCs/>
                <w:color w:val="000000" w:themeColor="text1"/>
                <w:sz w:val="20"/>
                <w:szCs w:val="20"/>
              </w:rPr>
              <w:t xml:space="preserve">Emissions </w:t>
            </w:r>
            <w:r>
              <w:rPr>
                <w:rFonts w:eastAsia="Times New Roman"/>
                <w:b/>
                <w:bCs/>
                <w:color w:val="000000" w:themeColor="text1"/>
                <w:sz w:val="20"/>
                <w:szCs w:val="20"/>
              </w:rPr>
              <w:t>r</w:t>
            </w:r>
            <w:r w:rsidRPr="00DA4525">
              <w:rPr>
                <w:rFonts w:eastAsia="Times New Roman"/>
                <w:b/>
                <w:bCs/>
                <w:color w:val="000000" w:themeColor="text1"/>
                <w:sz w:val="20"/>
                <w:szCs w:val="20"/>
              </w:rPr>
              <w:t xml:space="preserve">eductions </w:t>
            </w:r>
          </w:p>
          <w:p w:rsidR="009C5CE8" w:rsidRPr="00DA4525" w:rsidRDefault="009C5CE8" w:rsidP="00F03239">
            <w:pPr>
              <w:jc w:val="center"/>
              <w:rPr>
                <w:rFonts w:eastAsia="Times New Roman"/>
                <w:b/>
                <w:bCs/>
                <w:color w:val="000000" w:themeColor="text1"/>
                <w:sz w:val="20"/>
                <w:szCs w:val="20"/>
              </w:rPr>
            </w:pPr>
            <w:r>
              <w:rPr>
                <w:rFonts w:eastAsia="Times New Roman"/>
                <w:b/>
                <w:bCs/>
                <w:color w:val="000000" w:themeColor="text1"/>
                <w:sz w:val="20"/>
                <w:szCs w:val="20"/>
              </w:rPr>
              <w:t>r</w:t>
            </w:r>
            <w:r w:rsidRPr="00DA4525">
              <w:rPr>
                <w:rFonts w:eastAsia="Times New Roman"/>
                <w:b/>
                <w:bCs/>
                <w:color w:val="000000" w:themeColor="text1"/>
                <w:sz w:val="20"/>
                <w:szCs w:val="20"/>
              </w:rPr>
              <w:t xml:space="preserve">elative to 2025 </w:t>
            </w:r>
            <w:r>
              <w:rPr>
                <w:rFonts w:eastAsia="Times New Roman"/>
                <w:b/>
                <w:bCs/>
                <w:color w:val="000000" w:themeColor="text1"/>
                <w:sz w:val="20"/>
                <w:szCs w:val="20"/>
              </w:rPr>
              <w:t>p</w:t>
            </w:r>
            <w:r w:rsidRPr="00DA4525">
              <w:rPr>
                <w:rFonts w:eastAsia="Times New Roman"/>
                <w:b/>
                <w:bCs/>
                <w:color w:val="000000" w:themeColor="text1"/>
                <w:sz w:val="20"/>
                <w:szCs w:val="20"/>
              </w:rPr>
              <w:t>rojections</w:t>
            </w:r>
          </w:p>
        </w:tc>
        <w:tc>
          <w:tcPr>
            <w:tcW w:w="689" w:type="pct"/>
            <w:tcBorders>
              <w:top w:val="double" w:sz="6" w:space="0" w:color="auto"/>
              <w:left w:val="nil"/>
              <w:bottom w:val="single" w:sz="8" w:space="0" w:color="auto"/>
              <w:right w:val="nil"/>
            </w:tcBorders>
            <w:shd w:val="clear" w:color="auto" w:fill="auto"/>
            <w:vAlign w:val="bottom"/>
            <w:hideMark/>
          </w:tcPr>
          <w:p w:rsidR="009C5CE8" w:rsidRPr="00DA4525" w:rsidRDefault="009C5CE8" w:rsidP="00F03239">
            <w:pPr>
              <w:jc w:val="center"/>
              <w:rPr>
                <w:rFonts w:eastAsia="Times New Roman"/>
                <w:b/>
                <w:bCs/>
                <w:color w:val="000000" w:themeColor="text1"/>
                <w:sz w:val="20"/>
                <w:szCs w:val="20"/>
              </w:rPr>
            </w:pPr>
            <w:r w:rsidRPr="00DA4525">
              <w:rPr>
                <w:rFonts w:eastAsia="Times New Roman"/>
                <w:b/>
                <w:bCs/>
                <w:color w:val="000000" w:themeColor="text1"/>
                <w:sz w:val="20"/>
                <w:szCs w:val="20"/>
              </w:rPr>
              <w:t xml:space="preserve">Type of </w:t>
            </w:r>
            <w:r>
              <w:rPr>
                <w:rFonts w:eastAsia="Times New Roman"/>
                <w:b/>
                <w:bCs/>
                <w:color w:val="000000" w:themeColor="text1"/>
                <w:sz w:val="20"/>
                <w:szCs w:val="20"/>
              </w:rPr>
              <w:t>e</w:t>
            </w:r>
            <w:r w:rsidRPr="00DA4525">
              <w:rPr>
                <w:rFonts w:eastAsia="Times New Roman"/>
                <w:b/>
                <w:bCs/>
                <w:color w:val="000000" w:themeColor="text1"/>
                <w:sz w:val="20"/>
                <w:szCs w:val="20"/>
              </w:rPr>
              <w:t xml:space="preserve">missions </w:t>
            </w:r>
            <w:r>
              <w:rPr>
                <w:rFonts w:eastAsia="Times New Roman"/>
                <w:b/>
                <w:bCs/>
                <w:color w:val="000000" w:themeColor="text1"/>
                <w:sz w:val="20"/>
                <w:szCs w:val="20"/>
              </w:rPr>
              <w:t>re</w:t>
            </w:r>
            <w:r w:rsidRPr="00DA4525">
              <w:rPr>
                <w:rFonts w:eastAsia="Times New Roman"/>
                <w:b/>
                <w:bCs/>
                <w:color w:val="000000" w:themeColor="text1"/>
                <w:sz w:val="20"/>
                <w:szCs w:val="20"/>
              </w:rPr>
              <w:t>ductions</w:t>
            </w:r>
          </w:p>
        </w:tc>
      </w:tr>
      <w:tr w:rsidR="009C5CE8" w:rsidRPr="00DA4525" w:rsidTr="00F03239">
        <w:trPr>
          <w:trHeight w:val="243"/>
        </w:trPr>
        <w:tc>
          <w:tcPr>
            <w:tcW w:w="688" w:type="pct"/>
            <w:tcBorders>
              <w:top w:val="nil"/>
              <w:left w:val="nil"/>
              <w:bottom w:val="nil"/>
              <w:right w:val="nil"/>
            </w:tcBorders>
            <w:shd w:val="clear" w:color="auto" w:fill="auto"/>
            <w:noWrap/>
            <w:vAlign w:val="bottom"/>
            <w:hideMark/>
          </w:tcPr>
          <w:p w:rsidR="009C5CE8" w:rsidRPr="00DA4525" w:rsidRDefault="009C5CE8" w:rsidP="00F03239">
            <w:pPr>
              <w:jc w:val="center"/>
              <w:rPr>
                <w:rFonts w:eastAsia="Times New Roman"/>
                <w:color w:val="000000" w:themeColor="text1"/>
                <w:sz w:val="20"/>
                <w:szCs w:val="20"/>
              </w:rPr>
            </w:pPr>
            <w:r w:rsidRPr="00DA4525">
              <w:rPr>
                <w:rFonts w:eastAsia="Times New Roman"/>
                <w:color w:val="000000" w:themeColor="text1"/>
                <w:sz w:val="20"/>
                <w:szCs w:val="20"/>
              </w:rPr>
              <w:t>1</w:t>
            </w:r>
          </w:p>
        </w:tc>
        <w:tc>
          <w:tcPr>
            <w:tcW w:w="2000" w:type="pct"/>
            <w:tcBorders>
              <w:top w:val="nil"/>
              <w:left w:val="nil"/>
              <w:bottom w:val="nil"/>
              <w:right w:val="nil"/>
            </w:tcBorders>
            <w:shd w:val="clear" w:color="auto" w:fill="auto"/>
            <w:noWrap/>
            <w:vAlign w:val="bottom"/>
            <w:hideMark/>
          </w:tcPr>
          <w:p w:rsidR="009C5CE8" w:rsidRPr="00DA4525" w:rsidRDefault="009C5CE8" w:rsidP="00F03239">
            <w:pPr>
              <w:jc w:val="center"/>
              <w:rPr>
                <w:rFonts w:eastAsia="Times New Roman"/>
                <w:color w:val="000000" w:themeColor="text1"/>
                <w:sz w:val="20"/>
                <w:szCs w:val="20"/>
              </w:rPr>
            </w:pPr>
            <w:r w:rsidRPr="00DA4525">
              <w:rPr>
                <w:rFonts w:eastAsia="Times New Roman"/>
                <w:color w:val="000000" w:themeColor="text1"/>
                <w:sz w:val="20"/>
                <w:szCs w:val="20"/>
              </w:rPr>
              <w:t>California</w:t>
            </w:r>
          </w:p>
        </w:tc>
        <w:tc>
          <w:tcPr>
            <w:tcW w:w="1623" w:type="pct"/>
            <w:tcBorders>
              <w:top w:val="nil"/>
              <w:left w:val="nil"/>
              <w:bottom w:val="nil"/>
              <w:right w:val="nil"/>
            </w:tcBorders>
            <w:shd w:val="clear" w:color="auto" w:fill="auto"/>
            <w:noWrap/>
            <w:vAlign w:val="bottom"/>
            <w:hideMark/>
          </w:tcPr>
          <w:p w:rsidR="009C5CE8" w:rsidRPr="00DA4525" w:rsidRDefault="009C5CE8" w:rsidP="00F03239">
            <w:pPr>
              <w:jc w:val="center"/>
              <w:rPr>
                <w:rFonts w:eastAsia="Times New Roman"/>
                <w:color w:val="000000" w:themeColor="text1"/>
                <w:sz w:val="20"/>
                <w:szCs w:val="20"/>
                <w:vertAlign w:val="superscript"/>
              </w:rPr>
            </w:pPr>
            <w:r w:rsidRPr="00DA4525">
              <w:rPr>
                <w:rFonts w:eastAsia="Times New Roman"/>
                <w:color w:val="000000" w:themeColor="text1"/>
                <w:sz w:val="20"/>
                <w:szCs w:val="20"/>
              </w:rPr>
              <w:t>Explicit control scenario</w:t>
            </w:r>
            <w:r w:rsidRPr="00DA4525">
              <w:rPr>
                <w:rFonts w:eastAsia="Times New Roman"/>
                <w:color w:val="000000" w:themeColor="text1"/>
                <w:sz w:val="20"/>
                <w:szCs w:val="20"/>
                <w:vertAlign w:val="superscript"/>
              </w:rPr>
              <w:t>1</w:t>
            </w:r>
          </w:p>
        </w:tc>
        <w:tc>
          <w:tcPr>
            <w:tcW w:w="689" w:type="pct"/>
            <w:tcBorders>
              <w:top w:val="nil"/>
              <w:left w:val="nil"/>
              <w:bottom w:val="nil"/>
              <w:right w:val="nil"/>
            </w:tcBorders>
            <w:shd w:val="clear" w:color="auto" w:fill="auto"/>
            <w:noWrap/>
            <w:vAlign w:val="bottom"/>
            <w:hideMark/>
          </w:tcPr>
          <w:p w:rsidR="009C5CE8" w:rsidRPr="00DA4525" w:rsidRDefault="009C5CE8" w:rsidP="00F03239">
            <w:pPr>
              <w:jc w:val="center"/>
              <w:rPr>
                <w:rFonts w:eastAsia="Times New Roman"/>
                <w:color w:val="000000" w:themeColor="text1"/>
                <w:sz w:val="20"/>
                <w:szCs w:val="20"/>
              </w:rPr>
            </w:pPr>
            <w:r w:rsidRPr="00DA4525">
              <w:rPr>
                <w:rFonts w:eastAsia="Times New Roman"/>
                <w:color w:val="000000" w:themeColor="text1"/>
                <w:sz w:val="20"/>
                <w:szCs w:val="20"/>
              </w:rPr>
              <w:t>NO</w:t>
            </w:r>
            <w:r w:rsidRPr="00DA4525">
              <w:rPr>
                <w:rFonts w:eastAsia="Times New Roman"/>
                <w:color w:val="000000" w:themeColor="text1"/>
                <w:sz w:val="20"/>
                <w:szCs w:val="20"/>
                <w:vertAlign w:val="subscript"/>
              </w:rPr>
              <w:t>X</w:t>
            </w:r>
          </w:p>
        </w:tc>
      </w:tr>
      <w:tr w:rsidR="009C5CE8" w:rsidRPr="00DA4525" w:rsidTr="00F03239">
        <w:trPr>
          <w:trHeight w:val="243"/>
        </w:trPr>
        <w:tc>
          <w:tcPr>
            <w:tcW w:w="688" w:type="pct"/>
            <w:tcBorders>
              <w:top w:val="nil"/>
              <w:left w:val="nil"/>
              <w:bottom w:val="nil"/>
              <w:right w:val="nil"/>
            </w:tcBorders>
            <w:shd w:val="clear" w:color="auto" w:fill="auto"/>
            <w:noWrap/>
            <w:vAlign w:val="bottom"/>
            <w:hideMark/>
          </w:tcPr>
          <w:p w:rsidR="009C5CE8" w:rsidRPr="00DA4525" w:rsidRDefault="009C5CE8" w:rsidP="00F03239">
            <w:pPr>
              <w:jc w:val="center"/>
              <w:rPr>
                <w:rFonts w:eastAsia="Times New Roman"/>
                <w:color w:val="000000" w:themeColor="text1"/>
                <w:sz w:val="20"/>
                <w:szCs w:val="20"/>
              </w:rPr>
            </w:pPr>
            <w:r w:rsidRPr="00DA4525">
              <w:rPr>
                <w:rFonts w:eastAsia="Times New Roman"/>
                <w:color w:val="000000" w:themeColor="text1"/>
                <w:sz w:val="20"/>
                <w:szCs w:val="20"/>
              </w:rPr>
              <w:t>2</w:t>
            </w:r>
          </w:p>
        </w:tc>
        <w:tc>
          <w:tcPr>
            <w:tcW w:w="2000" w:type="pct"/>
            <w:tcBorders>
              <w:top w:val="nil"/>
              <w:left w:val="nil"/>
              <w:bottom w:val="nil"/>
              <w:right w:val="nil"/>
            </w:tcBorders>
            <w:shd w:val="clear" w:color="auto" w:fill="auto"/>
            <w:noWrap/>
            <w:vAlign w:val="bottom"/>
            <w:hideMark/>
          </w:tcPr>
          <w:p w:rsidR="009C5CE8" w:rsidRPr="00DA4525" w:rsidRDefault="009C5CE8" w:rsidP="00F03239">
            <w:pPr>
              <w:jc w:val="center"/>
              <w:rPr>
                <w:rFonts w:eastAsia="Times New Roman"/>
                <w:color w:val="000000" w:themeColor="text1"/>
                <w:sz w:val="20"/>
                <w:szCs w:val="20"/>
              </w:rPr>
            </w:pPr>
            <w:r w:rsidRPr="00DA4525">
              <w:rPr>
                <w:rFonts w:eastAsia="Times New Roman"/>
                <w:color w:val="000000" w:themeColor="text1"/>
                <w:sz w:val="20"/>
                <w:szCs w:val="20"/>
              </w:rPr>
              <w:t>San Joaquin Valley and Northern California</w:t>
            </w:r>
          </w:p>
        </w:tc>
        <w:tc>
          <w:tcPr>
            <w:tcW w:w="1623" w:type="pct"/>
            <w:tcBorders>
              <w:top w:val="nil"/>
              <w:left w:val="nil"/>
              <w:bottom w:val="nil"/>
              <w:right w:val="nil"/>
            </w:tcBorders>
            <w:shd w:val="clear" w:color="auto" w:fill="auto"/>
            <w:noWrap/>
            <w:vAlign w:val="bottom"/>
            <w:hideMark/>
          </w:tcPr>
          <w:p w:rsidR="009C5CE8" w:rsidRPr="00DA4525" w:rsidRDefault="009C5CE8" w:rsidP="00F03239">
            <w:pPr>
              <w:jc w:val="center"/>
              <w:rPr>
                <w:rFonts w:eastAsia="Times New Roman"/>
                <w:color w:val="000000" w:themeColor="text1"/>
                <w:sz w:val="20"/>
                <w:szCs w:val="20"/>
              </w:rPr>
            </w:pPr>
            <w:r>
              <w:rPr>
                <w:rFonts w:eastAsia="Times New Roman"/>
                <w:color w:val="000000" w:themeColor="text1"/>
                <w:sz w:val="20"/>
                <w:szCs w:val="20"/>
              </w:rPr>
              <w:t>50 percent beyond simulation n</w:t>
            </w:r>
            <w:r w:rsidRPr="00DA4525">
              <w:rPr>
                <w:rFonts w:eastAsia="Times New Roman"/>
                <w:color w:val="000000" w:themeColor="text1"/>
                <w:sz w:val="20"/>
                <w:szCs w:val="20"/>
              </w:rPr>
              <w:t>o. 1</w:t>
            </w:r>
          </w:p>
        </w:tc>
        <w:tc>
          <w:tcPr>
            <w:tcW w:w="689" w:type="pct"/>
            <w:tcBorders>
              <w:top w:val="nil"/>
              <w:left w:val="nil"/>
              <w:bottom w:val="nil"/>
              <w:right w:val="nil"/>
            </w:tcBorders>
            <w:shd w:val="clear" w:color="auto" w:fill="auto"/>
            <w:noWrap/>
            <w:hideMark/>
          </w:tcPr>
          <w:p w:rsidR="009C5CE8" w:rsidRPr="00DA4525" w:rsidRDefault="009C5CE8" w:rsidP="00F03239">
            <w:pPr>
              <w:jc w:val="center"/>
              <w:rPr>
                <w:rFonts w:eastAsia="Times New Roman"/>
                <w:color w:val="000000" w:themeColor="text1"/>
                <w:sz w:val="20"/>
                <w:szCs w:val="20"/>
              </w:rPr>
            </w:pPr>
            <w:r w:rsidRPr="00DA4525">
              <w:rPr>
                <w:rFonts w:eastAsia="Times New Roman"/>
                <w:color w:val="000000" w:themeColor="text1"/>
                <w:sz w:val="20"/>
                <w:szCs w:val="20"/>
              </w:rPr>
              <w:t>NO</w:t>
            </w:r>
            <w:r w:rsidRPr="00DA4525">
              <w:rPr>
                <w:rFonts w:eastAsia="Times New Roman"/>
                <w:color w:val="000000" w:themeColor="text1"/>
                <w:sz w:val="20"/>
                <w:szCs w:val="20"/>
                <w:vertAlign w:val="subscript"/>
              </w:rPr>
              <w:t>X</w:t>
            </w:r>
          </w:p>
        </w:tc>
      </w:tr>
      <w:tr w:rsidR="009C5CE8" w:rsidRPr="00DA4525" w:rsidTr="00F03239">
        <w:trPr>
          <w:trHeight w:val="243"/>
        </w:trPr>
        <w:tc>
          <w:tcPr>
            <w:tcW w:w="688" w:type="pct"/>
            <w:tcBorders>
              <w:top w:val="nil"/>
              <w:left w:val="nil"/>
              <w:bottom w:val="nil"/>
              <w:right w:val="nil"/>
            </w:tcBorders>
            <w:shd w:val="clear" w:color="auto" w:fill="auto"/>
            <w:noWrap/>
            <w:vAlign w:val="bottom"/>
            <w:hideMark/>
          </w:tcPr>
          <w:p w:rsidR="009C5CE8" w:rsidRPr="00DA4525" w:rsidRDefault="009C5CE8" w:rsidP="00F03239">
            <w:pPr>
              <w:jc w:val="center"/>
              <w:rPr>
                <w:rFonts w:eastAsia="Times New Roman"/>
                <w:color w:val="000000" w:themeColor="text1"/>
                <w:sz w:val="20"/>
                <w:szCs w:val="20"/>
              </w:rPr>
            </w:pPr>
            <w:r w:rsidRPr="00DA4525">
              <w:rPr>
                <w:rFonts w:eastAsia="Times New Roman"/>
                <w:color w:val="000000" w:themeColor="text1"/>
                <w:sz w:val="20"/>
                <w:szCs w:val="20"/>
              </w:rPr>
              <w:t>3</w:t>
            </w:r>
          </w:p>
        </w:tc>
        <w:tc>
          <w:tcPr>
            <w:tcW w:w="2000" w:type="pct"/>
            <w:tcBorders>
              <w:top w:val="nil"/>
              <w:left w:val="nil"/>
              <w:bottom w:val="nil"/>
              <w:right w:val="nil"/>
            </w:tcBorders>
            <w:shd w:val="clear" w:color="auto" w:fill="auto"/>
            <w:noWrap/>
            <w:vAlign w:val="bottom"/>
            <w:hideMark/>
          </w:tcPr>
          <w:p w:rsidR="009C5CE8" w:rsidRPr="00DA4525" w:rsidRDefault="009C5CE8" w:rsidP="00F03239">
            <w:pPr>
              <w:jc w:val="center"/>
              <w:rPr>
                <w:rFonts w:eastAsia="Times New Roman"/>
                <w:color w:val="000000" w:themeColor="text1"/>
                <w:sz w:val="20"/>
                <w:szCs w:val="20"/>
              </w:rPr>
            </w:pPr>
            <w:r w:rsidRPr="00DA4525">
              <w:rPr>
                <w:rFonts w:eastAsia="Times New Roman"/>
                <w:color w:val="000000" w:themeColor="text1"/>
                <w:sz w:val="20"/>
                <w:szCs w:val="20"/>
              </w:rPr>
              <w:t>San Joaquin Valley and Northern California</w:t>
            </w:r>
          </w:p>
        </w:tc>
        <w:tc>
          <w:tcPr>
            <w:tcW w:w="1623" w:type="pct"/>
            <w:tcBorders>
              <w:top w:val="nil"/>
              <w:left w:val="nil"/>
              <w:bottom w:val="nil"/>
              <w:right w:val="nil"/>
            </w:tcBorders>
            <w:shd w:val="clear" w:color="auto" w:fill="auto"/>
            <w:noWrap/>
            <w:vAlign w:val="bottom"/>
            <w:hideMark/>
          </w:tcPr>
          <w:p w:rsidR="009C5CE8" w:rsidRPr="00DA4525" w:rsidRDefault="009C5CE8" w:rsidP="00F03239">
            <w:pPr>
              <w:jc w:val="center"/>
              <w:rPr>
                <w:rFonts w:eastAsia="Times New Roman"/>
                <w:color w:val="000000" w:themeColor="text1"/>
                <w:sz w:val="20"/>
                <w:szCs w:val="20"/>
              </w:rPr>
            </w:pPr>
            <w:r w:rsidRPr="00DA4525">
              <w:rPr>
                <w:rFonts w:eastAsia="Times New Roman"/>
                <w:color w:val="000000" w:themeColor="text1"/>
                <w:sz w:val="20"/>
                <w:szCs w:val="20"/>
              </w:rPr>
              <w:t>90</w:t>
            </w:r>
            <w:r>
              <w:rPr>
                <w:rFonts w:eastAsia="Times New Roman"/>
                <w:color w:val="000000" w:themeColor="text1"/>
                <w:sz w:val="20"/>
                <w:szCs w:val="20"/>
              </w:rPr>
              <w:t xml:space="preserve"> percent beyond simulation n</w:t>
            </w:r>
            <w:r w:rsidRPr="00DA4525">
              <w:rPr>
                <w:rFonts w:eastAsia="Times New Roman"/>
                <w:color w:val="000000" w:themeColor="text1"/>
                <w:sz w:val="20"/>
                <w:szCs w:val="20"/>
              </w:rPr>
              <w:t>o. 1</w:t>
            </w:r>
          </w:p>
        </w:tc>
        <w:tc>
          <w:tcPr>
            <w:tcW w:w="689" w:type="pct"/>
            <w:tcBorders>
              <w:top w:val="nil"/>
              <w:left w:val="nil"/>
              <w:bottom w:val="nil"/>
              <w:right w:val="nil"/>
            </w:tcBorders>
            <w:shd w:val="clear" w:color="auto" w:fill="auto"/>
            <w:noWrap/>
            <w:hideMark/>
          </w:tcPr>
          <w:p w:rsidR="009C5CE8" w:rsidRPr="00DA4525" w:rsidRDefault="009C5CE8" w:rsidP="00F03239">
            <w:pPr>
              <w:jc w:val="center"/>
              <w:rPr>
                <w:rFonts w:eastAsia="Times New Roman"/>
                <w:color w:val="000000" w:themeColor="text1"/>
                <w:sz w:val="20"/>
                <w:szCs w:val="20"/>
              </w:rPr>
            </w:pPr>
            <w:r w:rsidRPr="00DA4525">
              <w:rPr>
                <w:rFonts w:eastAsia="Times New Roman"/>
                <w:color w:val="000000" w:themeColor="text1"/>
                <w:sz w:val="20"/>
                <w:szCs w:val="20"/>
              </w:rPr>
              <w:t>NO</w:t>
            </w:r>
            <w:r w:rsidRPr="00DA4525">
              <w:rPr>
                <w:rFonts w:eastAsia="Times New Roman"/>
                <w:color w:val="000000" w:themeColor="text1"/>
                <w:sz w:val="20"/>
                <w:szCs w:val="20"/>
                <w:vertAlign w:val="subscript"/>
              </w:rPr>
              <w:t>X</w:t>
            </w:r>
          </w:p>
        </w:tc>
      </w:tr>
      <w:tr w:rsidR="009C5CE8" w:rsidRPr="00DA4525" w:rsidTr="00F03239">
        <w:trPr>
          <w:trHeight w:val="243"/>
        </w:trPr>
        <w:tc>
          <w:tcPr>
            <w:tcW w:w="688" w:type="pct"/>
            <w:tcBorders>
              <w:top w:val="nil"/>
              <w:left w:val="nil"/>
              <w:bottom w:val="nil"/>
              <w:right w:val="nil"/>
            </w:tcBorders>
            <w:shd w:val="clear" w:color="auto" w:fill="auto"/>
            <w:noWrap/>
            <w:vAlign w:val="bottom"/>
            <w:hideMark/>
          </w:tcPr>
          <w:p w:rsidR="009C5CE8" w:rsidRPr="00DA4525" w:rsidRDefault="009C5CE8" w:rsidP="00F03239">
            <w:pPr>
              <w:jc w:val="center"/>
              <w:rPr>
                <w:rFonts w:eastAsia="Times New Roman"/>
                <w:color w:val="000000" w:themeColor="text1"/>
                <w:sz w:val="20"/>
                <w:szCs w:val="20"/>
              </w:rPr>
            </w:pPr>
            <w:r w:rsidRPr="00DA4525">
              <w:rPr>
                <w:rFonts w:eastAsia="Times New Roman"/>
                <w:color w:val="000000" w:themeColor="text1"/>
                <w:sz w:val="20"/>
                <w:szCs w:val="20"/>
              </w:rPr>
              <w:t>4</w:t>
            </w:r>
          </w:p>
        </w:tc>
        <w:tc>
          <w:tcPr>
            <w:tcW w:w="2000" w:type="pct"/>
            <w:tcBorders>
              <w:top w:val="nil"/>
              <w:left w:val="nil"/>
              <w:bottom w:val="nil"/>
              <w:right w:val="nil"/>
            </w:tcBorders>
            <w:shd w:val="clear" w:color="auto" w:fill="auto"/>
            <w:noWrap/>
            <w:vAlign w:val="bottom"/>
            <w:hideMark/>
          </w:tcPr>
          <w:p w:rsidR="009C5CE8" w:rsidRPr="00DA4525" w:rsidRDefault="009C5CE8" w:rsidP="00F03239">
            <w:pPr>
              <w:jc w:val="center"/>
              <w:rPr>
                <w:rFonts w:eastAsia="Times New Roman"/>
                <w:color w:val="000000" w:themeColor="text1"/>
                <w:sz w:val="20"/>
                <w:szCs w:val="20"/>
              </w:rPr>
            </w:pPr>
            <w:r w:rsidRPr="00DA4525">
              <w:rPr>
                <w:rFonts w:eastAsia="Times New Roman"/>
                <w:color w:val="000000" w:themeColor="text1"/>
                <w:sz w:val="20"/>
                <w:szCs w:val="20"/>
              </w:rPr>
              <w:t>Southern California</w:t>
            </w:r>
          </w:p>
        </w:tc>
        <w:tc>
          <w:tcPr>
            <w:tcW w:w="1623" w:type="pct"/>
            <w:tcBorders>
              <w:top w:val="nil"/>
              <w:left w:val="nil"/>
              <w:bottom w:val="nil"/>
              <w:right w:val="nil"/>
            </w:tcBorders>
            <w:shd w:val="clear" w:color="auto" w:fill="auto"/>
            <w:noWrap/>
            <w:vAlign w:val="bottom"/>
            <w:hideMark/>
          </w:tcPr>
          <w:p w:rsidR="009C5CE8" w:rsidRPr="00DA4525" w:rsidRDefault="009C5CE8" w:rsidP="00F03239">
            <w:pPr>
              <w:jc w:val="center"/>
              <w:rPr>
                <w:rFonts w:eastAsia="Times New Roman"/>
                <w:color w:val="000000" w:themeColor="text1"/>
                <w:sz w:val="20"/>
                <w:szCs w:val="20"/>
              </w:rPr>
            </w:pPr>
            <w:r>
              <w:rPr>
                <w:rFonts w:eastAsia="Times New Roman"/>
                <w:color w:val="000000" w:themeColor="text1"/>
                <w:sz w:val="20"/>
                <w:szCs w:val="20"/>
              </w:rPr>
              <w:t>50 percent beyond simulation n</w:t>
            </w:r>
            <w:r w:rsidRPr="00DA4525">
              <w:rPr>
                <w:rFonts w:eastAsia="Times New Roman"/>
                <w:color w:val="000000" w:themeColor="text1"/>
                <w:sz w:val="20"/>
                <w:szCs w:val="20"/>
              </w:rPr>
              <w:t>o. 1</w:t>
            </w:r>
          </w:p>
        </w:tc>
        <w:tc>
          <w:tcPr>
            <w:tcW w:w="689" w:type="pct"/>
            <w:tcBorders>
              <w:top w:val="nil"/>
              <w:left w:val="nil"/>
              <w:bottom w:val="nil"/>
              <w:right w:val="nil"/>
            </w:tcBorders>
            <w:shd w:val="clear" w:color="auto" w:fill="auto"/>
            <w:noWrap/>
            <w:hideMark/>
          </w:tcPr>
          <w:p w:rsidR="009C5CE8" w:rsidRPr="00DA4525" w:rsidRDefault="009C5CE8" w:rsidP="00F03239">
            <w:pPr>
              <w:jc w:val="center"/>
              <w:rPr>
                <w:rFonts w:eastAsia="Times New Roman"/>
                <w:color w:val="000000" w:themeColor="text1"/>
                <w:sz w:val="20"/>
                <w:szCs w:val="20"/>
              </w:rPr>
            </w:pPr>
            <w:r w:rsidRPr="00DA4525">
              <w:rPr>
                <w:rFonts w:eastAsia="Times New Roman"/>
                <w:color w:val="000000" w:themeColor="text1"/>
                <w:sz w:val="20"/>
                <w:szCs w:val="20"/>
              </w:rPr>
              <w:t>NO</w:t>
            </w:r>
            <w:r w:rsidRPr="00DA4525">
              <w:rPr>
                <w:rFonts w:eastAsia="Times New Roman"/>
                <w:color w:val="000000" w:themeColor="text1"/>
                <w:sz w:val="20"/>
                <w:szCs w:val="20"/>
                <w:vertAlign w:val="subscript"/>
              </w:rPr>
              <w:t>X</w:t>
            </w:r>
          </w:p>
        </w:tc>
      </w:tr>
      <w:tr w:rsidR="009C5CE8" w:rsidRPr="00DA4525" w:rsidTr="00F03239">
        <w:trPr>
          <w:trHeight w:val="243"/>
        </w:trPr>
        <w:tc>
          <w:tcPr>
            <w:tcW w:w="688" w:type="pct"/>
            <w:tcBorders>
              <w:top w:val="nil"/>
              <w:left w:val="nil"/>
              <w:bottom w:val="nil"/>
              <w:right w:val="nil"/>
            </w:tcBorders>
            <w:shd w:val="clear" w:color="auto" w:fill="auto"/>
            <w:noWrap/>
            <w:vAlign w:val="bottom"/>
            <w:hideMark/>
          </w:tcPr>
          <w:p w:rsidR="009C5CE8" w:rsidRPr="00DA4525" w:rsidRDefault="009C5CE8" w:rsidP="00F03239">
            <w:pPr>
              <w:jc w:val="center"/>
              <w:rPr>
                <w:rFonts w:eastAsia="Times New Roman"/>
                <w:color w:val="000000" w:themeColor="text1"/>
                <w:sz w:val="20"/>
                <w:szCs w:val="20"/>
              </w:rPr>
            </w:pPr>
            <w:r w:rsidRPr="00DA4525">
              <w:rPr>
                <w:rFonts w:eastAsia="Times New Roman"/>
                <w:color w:val="000000" w:themeColor="text1"/>
                <w:sz w:val="20"/>
                <w:szCs w:val="20"/>
              </w:rPr>
              <w:t>5</w:t>
            </w:r>
          </w:p>
        </w:tc>
        <w:tc>
          <w:tcPr>
            <w:tcW w:w="2000" w:type="pct"/>
            <w:tcBorders>
              <w:top w:val="nil"/>
              <w:left w:val="nil"/>
              <w:bottom w:val="nil"/>
              <w:right w:val="nil"/>
            </w:tcBorders>
            <w:shd w:val="clear" w:color="auto" w:fill="auto"/>
            <w:noWrap/>
            <w:vAlign w:val="bottom"/>
            <w:hideMark/>
          </w:tcPr>
          <w:p w:rsidR="009C5CE8" w:rsidRPr="00DA4525" w:rsidRDefault="009C5CE8" w:rsidP="00F03239">
            <w:pPr>
              <w:jc w:val="center"/>
              <w:rPr>
                <w:rFonts w:eastAsia="Times New Roman"/>
                <w:color w:val="000000" w:themeColor="text1"/>
                <w:sz w:val="20"/>
                <w:szCs w:val="20"/>
              </w:rPr>
            </w:pPr>
            <w:r w:rsidRPr="00DA4525">
              <w:rPr>
                <w:rFonts w:eastAsia="Times New Roman"/>
                <w:color w:val="000000" w:themeColor="text1"/>
                <w:sz w:val="20"/>
                <w:szCs w:val="20"/>
              </w:rPr>
              <w:t>Southern California</w:t>
            </w:r>
          </w:p>
        </w:tc>
        <w:tc>
          <w:tcPr>
            <w:tcW w:w="1623" w:type="pct"/>
            <w:tcBorders>
              <w:top w:val="nil"/>
              <w:left w:val="nil"/>
              <w:bottom w:val="nil"/>
              <w:right w:val="nil"/>
            </w:tcBorders>
            <w:shd w:val="clear" w:color="auto" w:fill="auto"/>
            <w:noWrap/>
            <w:vAlign w:val="bottom"/>
            <w:hideMark/>
          </w:tcPr>
          <w:p w:rsidR="009C5CE8" w:rsidRPr="00DA4525" w:rsidRDefault="009C5CE8" w:rsidP="00F03239">
            <w:pPr>
              <w:jc w:val="center"/>
              <w:rPr>
                <w:rFonts w:eastAsia="Times New Roman"/>
                <w:color w:val="000000" w:themeColor="text1"/>
                <w:sz w:val="20"/>
                <w:szCs w:val="20"/>
              </w:rPr>
            </w:pPr>
            <w:r w:rsidRPr="00DA4525">
              <w:rPr>
                <w:rFonts w:eastAsia="Times New Roman"/>
                <w:color w:val="000000" w:themeColor="text1"/>
                <w:sz w:val="20"/>
                <w:szCs w:val="20"/>
              </w:rPr>
              <w:t>90</w:t>
            </w:r>
            <w:r>
              <w:rPr>
                <w:rFonts w:eastAsia="Times New Roman"/>
                <w:color w:val="000000" w:themeColor="text1"/>
                <w:sz w:val="20"/>
                <w:szCs w:val="20"/>
              </w:rPr>
              <w:t xml:space="preserve"> percent beyond simulation n</w:t>
            </w:r>
            <w:r w:rsidRPr="00DA4525">
              <w:rPr>
                <w:rFonts w:eastAsia="Times New Roman"/>
                <w:color w:val="000000" w:themeColor="text1"/>
                <w:sz w:val="20"/>
                <w:szCs w:val="20"/>
              </w:rPr>
              <w:t>o. 1</w:t>
            </w:r>
          </w:p>
        </w:tc>
        <w:tc>
          <w:tcPr>
            <w:tcW w:w="689" w:type="pct"/>
            <w:tcBorders>
              <w:top w:val="nil"/>
              <w:left w:val="nil"/>
              <w:bottom w:val="nil"/>
              <w:right w:val="nil"/>
            </w:tcBorders>
            <w:shd w:val="clear" w:color="auto" w:fill="auto"/>
            <w:noWrap/>
            <w:hideMark/>
          </w:tcPr>
          <w:p w:rsidR="009C5CE8" w:rsidRPr="00DA4525" w:rsidRDefault="009C5CE8" w:rsidP="00F03239">
            <w:pPr>
              <w:jc w:val="center"/>
              <w:rPr>
                <w:rFonts w:eastAsia="Times New Roman"/>
                <w:color w:val="000000" w:themeColor="text1"/>
                <w:sz w:val="20"/>
                <w:szCs w:val="20"/>
              </w:rPr>
            </w:pPr>
            <w:r w:rsidRPr="00DA4525">
              <w:rPr>
                <w:rFonts w:eastAsia="Times New Roman"/>
                <w:color w:val="000000" w:themeColor="text1"/>
                <w:sz w:val="20"/>
                <w:szCs w:val="20"/>
              </w:rPr>
              <w:t>NO</w:t>
            </w:r>
            <w:r w:rsidRPr="00DA4525">
              <w:rPr>
                <w:rFonts w:eastAsia="Times New Roman"/>
                <w:color w:val="000000" w:themeColor="text1"/>
                <w:sz w:val="20"/>
                <w:szCs w:val="20"/>
                <w:vertAlign w:val="subscript"/>
              </w:rPr>
              <w:t>X</w:t>
            </w:r>
          </w:p>
        </w:tc>
      </w:tr>
      <w:tr w:rsidR="009C5CE8" w:rsidRPr="00DA4525" w:rsidTr="00F03239">
        <w:trPr>
          <w:trHeight w:val="243"/>
        </w:trPr>
        <w:tc>
          <w:tcPr>
            <w:tcW w:w="688" w:type="pct"/>
            <w:tcBorders>
              <w:top w:val="nil"/>
              <w:left w:val="nil"/>
              <w:bottom w:val="nil"/>
              <w:right w:val="nil"/>
            </w:tcBorders>
            <w:shd w:val="clear" w:color="auto" w:fill="auto"/>
            <w:noWrap/>
            <w:vAlign w:val="bottom"/>
            <w:hideMark/>
          </w:tcPr>
          <w:p w:rsidR="009C5CE8" w:rsidRPr="00DA4525" w:rsidRDefault="009C5CE8" w:rsidP="00F03239">
            <w:pPr>
              <w:jc w:val="center"/>
              <w:rPr>
                <w:rFonts w:eastAsia="Times New Roman"/>
                <w:color w:val="000000" w:themeColor="text1"/>
                <w:sz w:val="20"/>
                <w:szCs w:val="20"/>
              </w:rPr>
            </w:pPr>
            <w:r w:rsidRPr="00DA4525">
              <w:rPr>
                <w:rFonts w:eastAsia="Times New Roman"/>
                <w:color w:val="000000" w:themeColor="text1"/>
                <w:sz w:val="20"/>
                <w:szCs w:val="20"/>
              </w:rPr>
              <w:t>6</w:t>
            </w:r>
          </w:p>
        </w:tc>
        <w:tc>
          <w:tcPr>
            <w:tcW w:w="2000" w:type="pct"/>
            <w:tcBorders>
              <w:top w:val="nil"/>
              <w:left w:val="nil"/>
              <w:bottom w:val="nil"/>
              <w:right w:val="nil"/>
            </w:tcBorders>
            <w:shd w:val="clear" w:color="auto" w:fill="auto"/>
            <w:noWrap/>
            <w:vAlign w:val="bottom"/>
            <w:hideMark/>
          </w:tcPr>
          <w:p w:rsidR="009C5CE8" w:rsidRPr="00DA4525" w:rsidRDefault="009C5CE8" w:rsidP="00F03239">
            <w:pPr>
              <w:jc w:val="center"/>
              <w:rPr>
                <w:rFonts w:eastAsia="Times New Roman"/>
                <w:color w:val="000000" w:themeColor="text1"/>
                <w:sz w:val="20"/>
                <w:szCs w:val="20"/>
              </w:rPr>
            </w:pPr>
            <w:r w:rsidRPr="00DA4525">
              <w:rPr>
                <w:rFonts w:eastAsia="Times New Roman"/>
                <w:color w:val="000000" w:themeColor="text1"/>
                <w:sz w:val="20"/>
                <w:szCs w:val="20"/>
              </w:rPr>
              <w:t>Nevada</w:t>
            </w:r>
          </w:p>
        </w:tc>
        <w:tc>
          <w:tcPr>
            <w:tcW w:w="1623" w:type="pct"/>
            <w:tcBorders>
              <w:top w:val="nil"/>
              <w:left w:val="nil"/>
              <w:bottom w:val="nil"/>
              <w:right w:val="nil"/>
            </w:tcBorders>
            <w:shd w:val="clear" w:color="auto" w:fill="auto"/>
            <w:noWrap/>
            <w:vAlign w:val="bottom"/>
            <w:hideMark/>
          </w:tcPr>
          <w:p w:rsidR="009C5CE8" w:rsidRPr="00DA4525" w:rsidRDefault="009C5CE8" w:rsidP="00F03239">
            <w:pPr>
              <w:jc w:val="center"/>
              <w:rPr>
                <w:rFonts w:eastAsia="Times New Roman"/>
                <w:color w:val="000000" w:themeColor="text1"/>
                <w:sz w:val="20"/>
                <w:szCs w:val="20"/>
              </w:rPr>
            </w:pPr>
            <w:r w:rsidRPr="00DA4525">
              <w:rPr>
                <w:rFonts w:eastAsia="Times New Roman"/>
                <w:color w:val="000000" w:themeColor="text1"/>
                <w:sz w:val="20"/>
                <w:szCs w:val="20"/>
              </w:rPr>
              <w:t>50</w:t>
            </w:r>
            <w:r>
              <w:rPr>
                <w:rFonts w:eastAsia="Times New Roman"/>
                <w:color w:val="000000" w:themeColor="text1"/>
                <w:sz w:val="20"/>
                <w:szCs w:val="20"/>
              </w:rPr>
              <w:t xml:space="preserve"> percent</w:t>
            </w:r>
          </w:p>
        </w:tc>
        <w:tc>
          <w:tcPr>
            <w:tcW w:w="689" w:type="pct"/>
            <w:tcBorders>
              <w:top w:val="nil"/>
              <w:left w:val="nil"/>
              <w:bottom w:val="nil"/>
              <w:right w:val="nil"/>
            </w:tcBorders>
            <w:shd w:val="clear" w:color="auto" w:fill="auto"/>
            <w:noWrap/>
            <w:hideMark/>
          </w:tcPr>
          <w:p w:rsidR="009C5CE8" w:rsidRPr="00DA4525" w:rsidRDefault="009C5CE8" w:rsidP="00F03239">
            <w:pPr>
              <w:jc w:val="center"/>
              <w:rPr>
                <w:rFonts w:eastAsia="Times New Roman"/>
                <w:color w:val="000000" w:themeColor="text1"/>
                <w:sz w:val="20"/>
                <w:szCs w:val="20"/>
              </w:rPr>
            </w:pPr>
            <w:r w:rsidRPr="00DA4525">
              <w:rPr>
                <w:rFonts w:eastAsia="Times New Roman"/>
                <w:color w:val="000000" w:themeColor="text1"/>
                <w:sz w:val="20"/>
                <w:szCs w:val="20"/>
              </w:rPr>
              <w:t>NO</w:t>
            </w:r>
            <w:r w:rsidRPr="00DA4525">
              <w:rPr>
                <w:rFonts w:eastAsia="Times New Roman"/>
                <w:color w:val="000000" w:themeColor="text1"/>
                <w:sz w:val="20"/>
                <w:szCs w:val="20"/>
                <w:vertAlign w:val="subscript"/>
              </w:rPr>
              <w:t>X</w:t>
            </w:r>
          </w:p>
        </w:tc>
      </w:tr>
      <w:tr w:rsidR="009C5CE8" w:rsidRPr="00DA4525" w:rsidTr="00F03239">
        <w:trPr>
          <w:trHeight w:val="255"/>
        </w:trPr>
        <w:tc>
          <w:tcPr>
            <w:tcW w:w="688" w:type="pct"/>
            <w:tcBorders>
              <w:top w:val="nil"/>
              <w:left w:val="nil"/>
              <w:bottom w:val="nil"/>
              <w:right w:val="nil"/>
            </w:tcBorders>
            <w:shd w:val="clear" w:color="auto" w:fill="auto"/>
            <w:noWrap/>
            <w:vAlign w:val="bottom"/>
            <w:hideMark/>
          </w:tcPr>
          <w:p w:rsidR="009C5CE8" w:rsidRPr="00DA4525" w:rsidRDefault="009C5CE8" w:rsidP="00F03239">
            <w:pPr>
              <w:jc w:val="center"/>
              <w:rPr>
                <w:rFonts w:eastAsia="Times New Roman"/>
                <w:bCs/>
                <w:color w:val="000000" w:themeColor="text1"/>
                <w:sz w:val="20"/>
                <w:szCs w:val="20"/>
              </w:rPr>
            </w:pPr>
            <w:r w:rsidRPr="00DA4525">
              <w:rPr>
                <w:rFonts w:eastAsia="Times New Roman"/>
                <w:bCs/>
                <w:color w:val="000000" w:themeColor="text1"/>
                <w:sz w:val="20"/>
                <w:szCs w:val="20"/>
              </w:rPr>
              <w:t>7</w:t>
            </w:r>
          </w:p>
        </w:tc>
        <w:tc>
          <w:tcPr>
            <w:tcW w:w="2000" w:type="pct"/>
            <w:tcBorders>
              <w:top w:val="nil"/>
              <w:left w:val="nil"/>
              <w:bottom w:val="nil"/>
              <w:right w:val="nil"/>
            </w:tcBorders>
            <w:shd w:val="clear" w:color="auto" w:fill="auto"/>
            <w:noWrap/>
            <w:vAlign w:val="bottom"/>
            <w:hideMark/>
          </w:tcPr>
          <w:p w:rsidR="009C5CE8" w:rsidRPr="00DA4525" w:rsidRDefault="009C5CE8" w:rsidP="00F03239">
            <w:pPr>
              <w:jc w:val="center"/>
              <w:rPr>
                <w:rFonts w:eastAsia="Times New Roman"/>
                <w:bCs/>
                <w:color w:val="000000" w:themeColor="text1"/>
                <w:sz w:val="20"/>
                <w:szCs w:val="20"/>
              </w:rPr>
            </w:pPr>
            <w:r w:rsidRPr="00DA4525">
              <w:rPr>
                <w:rFonts w:eastAsia="Times New Roman"/>
                <w:bCs/>
                <w:color w:val="000000" w:themeColor="text1"/>
                <w:sz w:val="20"/>
                <w:szCs w:val="20"/>
              </w:rPr>
              <w:t>Arizona and New Mexico</w:t>
            </w:r>
          </w:p>
        </w:tc>
        <w:tc>
          <w:tcPr>
            <w:tcW w:w="1623" w:type="pct"/>
            <w:tcBorders>
              <w:top w:val="nil"/>
              <w:left w:val="nil"/>
              <w:bottom w:val="nil"/>
              <w:right w:val="nil"/>
            </w:tcBorders>
            <w:shd w:val="clear" w:color="auto" w:fill="auto"/>
            <w:noWrap/>
            <w:vAlign w:val="bottom"/>
            <w:hideMark/>
          </w:tcPr>
          <w:p w:rsidR="009C5CE8" w:rsidRPr="00DA4525" w:rsidRDefault="009C5CE8" w:rsidP="00F03239">
            <w:pPr>
              <w:jc w:val="center"/>
              <w:rPr>
                <w:rFonts w:eastAsia="Times New Roman"/>
                <w:bCs/>
                <w:color w:val="000000" w:themeColor="text1"/>
                <w:sz w:val="20"/>
                <w:szCs w:val="20"/>
              </w:rPr>
            </w:pPr>
            <w:r w:rsidRPr="00DA4525">
              <w:rPr>
                <w:rFonts w:eastAsia="Times New Roman"/>
                <w:color w:val="000000" w:themeColor="text1"/>
                <w:sz w:val="20"/>
                <w:szCs w:val="20"/>
              </w:rPr>
              <w:t>50</w:t>
            </w:r>
            <w:r>
              <w:rPr>
                <w:rFonts w:eastAsia="Times New Roman"/>
                <w:color w:val="000000" w:themeColor="text1"/>
                <w:sz w:val="20"/>
                <w:szCs w:val="20"/>
              </w:rPr>
              <w:t xml:space="preserve"> percent</w:t>
            </w:r>
          </w:p>
        </w:tc>
        <w:tc>
          <w:tcPr>
            <w:tcW w:w="689" w:type="pct"/>
            <w:tcBorders>
              <w:top w:val="nil"/>
              <w:left w:val="nil"/>
              <w:bottom w:val="nil"/>
              <w:right w:val="nil"/>
            </w:tcBorders>
            <w:shd w:val="clear" w:color="auto" w:fill="auto"/>
            <w:noWrap/>
            <w:hideMark/>
          </w:tcPr>
          <w:p w:rsidR="009C5CE8" w:rsidRPr="00DA4525" w:rsidRDefault="009C5CE8" w:rsidP="00F03239">
            <w:pPr>
              <w:jc w:val="center"/>
              <w:rPr>
                <w:rFonts w:eastAsia="Times New Roman"/>
                <w:bCs/>
                <w:color w:val="000000" w:themeColor="text1"/>
                <w:sz w:val="20"/>
                <w:szCs w:val="20"/>
              </w:rPr>
            </w:pPr>
            <w:r w:rsidRPr="00DA4525">
              <w:rPr>
                <w:rFonts w:eastAsia="Times New Roman"/>
                <w:color w:val="000000" w:themeColor="text1"/>
                <w:sz w:val="20"/>
                <w:szCs w:val="20"/>
              </w:rPr>
              <w:t>NO</w:t>
            </w:r>
            <w:r w:rsidRPr="00DA4525">
              <w:rPr>
                <w:rFonts w:eastAsia="Times New Roman"/>
                <w:color w:val="000000" w:themeColor="text1"/>
                <w:sz w:val="20"/>
                <w:szCs w:val="20"/>
                <w:vertAlign w:val="subscript"/>
              </w:rPr>
              <w:t>X</w:t>
            </w:r>
          </w:p>
        </w:tc>
      </w:tr>
      <w:tr w:rsidR="009C5CE8" w:rsidRPr="00DA4525" w:rsidTr="00F03239">
        <w:trPr>
          <w:trHeight w:val="255"/>
        </w:trPr>
        <w:tc>
          <w:tcPr>
            <w:tcW w:w="688"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bCs/>
                <w:color w:val="000000" w:themeColor="text1"/>
                <w:sz w:val="20"/>
                <w:szCs w:val="20"/>
              </w:rPr>
              <w:t>8</w:t>
            </w:r>
          </w:p>
        </w:tc>
        <w:tc>
          <w:tcPr>
            <w:tcW w:w="2000"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bCs/>
                <w:color w:val="000000" w:themeColor="text1"/>
                <w:sz w:val="20"/>
                <w:szCs w:val="20"/>
              </w:rPr>
              <w:t>Utah and Wyoming</w:t>
            </w:r>
          </w:p>
        </w:tc>
        <w:tc>
          <w:tcPr>
            <w:tcW w:w="1623"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color w:val="000000" w:themeColor="text1"/>
                <w:sz w:val="20"/>
                <w:szCs w:val="20"/>
              </w:rPr>
              <w:t>50</w:t>
            </w:r>
            <w:r>
              <w:rPr>
                <w:rFonts w:eastAsia="Times New Roman"/>
                <w:color w:val="000000" w:themeColor="text1"/>
                <w:sz w:val="20"/>
                <w:szCs w:val="20"/>
              </w:rPr>
              <w:t xml:space="preserve"> percent</w:t>
            </w:r>
          </w:p>
        </w:tc>
        <w:tc>
          <w:tcPr>
            <w:tcW w:w="689" w:type="pct"/>
            <w:tcBorders>
              <w:top w:val="nil"/>
              <w:left w:val="nil"/>
              <w:bottom w:val="nil"/>
              <w:right w:val="nil"/>
            </w:tcBorders>
            <w:shd w:val="clear" w:color="auto" w:fill="auto"/>
            <w:noWrap/>
          </w:tcPr>
          <w:p w:rsidR="009C5CE8" w:rsidRPr="00DA4525" w:rsidRDefault="009C5CE8" w:rsidP="00F03239">
            <w:pPr>
              <w:jc w:val="center"/>
              <w:rPr>
                <w:rFonts w:eastAsia="Times New Roman"/>
                <w:bCs/>
                <w:color w:val="000000" w:themeColor="text1"/>
                <w:sz w:val="20"/>
                <w:szCs w:val="20"/>
              </w:rPr>
            </w:pPr>
            <w:r w:rsidRPr="00DA4525">
              <w:rPr>
                <w:rFonts w:eastAsia="Times New Roman"/>
                <w:color w:val="000000" w:themeColor="text1"/>
                <w:sz w:val="20"/>
                <w:szCs w:val="20"/>
              </w:rPr>
              <w:t>NO</w:t>
            </w:r>
            <w:r w:rsidRPr="00DA4525">
              <w:rPr>
                <w:rFonts w:eastAsia="Times New Roman"/>
                <w:color w:val="000000" w:themeColor="text1"/>
                <w:sz w:val="20"/>
                <w:szCs w:val="20"/>
                <w:vertAlign w:val="subscript"/>
              </w:rPr>
              <w:t>X</w:t>
            </w:r>
          </w:p>
        </w:tc>
      </w:tr>
      <w:tr w:rsidR="009C5CE8" w:rsidRPr="00DA4525" w:rsidTr="00F03239">
        <w:trPr>
          <w:trHeight w:val="255"/>
        </w:trPr>
        <w:tc>
          <w:tcPr>
            <w:tcW w:w="688"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bCs/>
                <w:color w:val="000000" w:themeColor="text1"/>
                <w:sz w:val="20"/>
                <w:szCs w:val="20"/>
              </w:rPr>
              <w:t>9</w:t>
            </w:r>
          </w:p>
        </w:tc>
        <w:tc>
          <w:tcPr>
            <w:tcW w:w="2000"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bCs/>
                <w:color w:val="000000" w:themeColor="text1"/>
                <w:sz w:val="20"/>
                <w:szCs w:val="20"/>
              </w:rPr>
              <w:t>Colorado</w:t>
            </w:r>
          </w:p>
        </w:tc>
        <w:tc>
          <w:tcPr>
            <w:tcW w:w="1623"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color w:val="000000" w:themeColor="text1"/>
                <w:sz w:val="20"/>
                <w:szCs w:val="20"/>
              </w:rPr>
              <w:t>50</w:t>
            </w:r>
            <w:r>
              <w:rPr>
                <w:rFonts w:eastAsia="Times New Roman"/>
                <w:color w:val="000000" w:themeColor="text1"/>
                <w:sz w:val="20"/>
                <w:szCs w:val="20"/>
              </w:rPr>
              <w:t xml:space="preserve"> percent</w:t>
            </w:r>
            <w:r w:rsidRPr="00DA4525">
              <w:rPr>
                <w:rFonts w:eastAsia="Times New Roman"/>
                <w:color w:val="000000" w:themeColor="text1"/>
                <w:sz w:val="20"/>
                <w:szCs w:val="20"/>
              </w:rPr>
              <w:t xml:space="preserve"> </w:t>
            </w:r>
          </w:p>
        </w:tc>
        <w:tc>
          <w:tcPr>
            <w:tcW w:w="689" w:type="pct"/>
            <w:tcBorders>
              <w:top w:val="nil"/>
              <w:left w:val="nil"/>
              <w:bottom w:val="nil"/>
              <w:right w:val="nil"/>
            </w:tcBorders>
            <w:shd w:val="clear" w:color="auto" w:fill="auto"/>
            <w:noWrap/>
          </w:tcPr>
          <w:p w:rsidR="009C5CE8" w:rsidRPr="00DA4525" w:rsidRDefault="009C5CE8" w:rsidP="00F03239">
            <w:pPr>
              <w:jc w:val="center"/>
              <w:rPr>
                <w:rFonts w:eastAsia="Times New Roman"/>
                <w:bCs/>
                <w:color w:val="000000" w:themeColor="text1"/>
                <w:sz w:val="20"/>
                <w:szCs w:val="20"/>
              </w:rPr>
            </w:pPr>
            <w:r w:rsidRPr="00DA4525">
              <w:rPr>
                <w:rFonts w:eastAsia="Times New Roman"/>
                <w:color w:val="000000" w:themeColor="text1"/>
                <w:sz w:val="20"/>
                <w:szCs w:val="20"/>
              </w:rPr>
              <w:t>NO</w:t>
            </w:r>
            <w:r w:rsidRPr="00DA4525">
              <w:rPr>
                <w:rFonts w:eastAsia="Times New Roman"/>
                <w:color w:val="000000" w:themeColor="text1"/>
                <w:sz w:val="20"/>
                <w:szCs w:val="20"/>
                <w:vertAlign w:val="subscript"/>
              </w:rPr>
              <w:t>X</w:t>
            </w:r>
          </w:p>
        </w:tc>
      </w:tr>
      <w:tr w:rsidR="009C5CE8" w:rsidRPr="00DA4525" w:rsidTr="00F03239">
        <w:trPr>
          <w:trHeight w:val="255"/>
        </w:trPr>
        <w:tc>
          <w:tcPr>
            <w:tcW w:w="688"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bCs/>
                <w:color w:val="000000" w:themeColor="text1"/>
                <w:sz w:val="20"/>
                <w:szCs w:val="20"/>
              </w:rPr>
              <w:t>10</w:t>
            </w:r>
          </w:p>
        </w:tc>
        <w:tc>
          <w:tcPr>
            <w:tcW w:w="2000"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vertAlign w:val="superscript"/>
              </w:rPr>
            </w:pPr>
            <w:r w:rsidRPr="00DA4525">
              <w:rPr>
                <w:rFonts w:eastAsia="Times New Roman"/>
                <w:bCs/>
                <w:color w:val="000000" w:themeColor="text1"/>
                <w:sz w:val="20"/>
                <w:szCs w:val="20"/>
              </w:rPr>
              <w:t>East Texas</w:t>
            </w:r>
            <w:r w:rsidRPr="00DA4525">
              <w:rPr>
                <w:rFonts w:eastAsia="Times New Roman"/>
                <w:bCs/>
                <w:color w:val="000000" w:themeColor="text1"/>
                <w:sz w:val="20"/>
                <w:szCs w:val="20"/>
                <w:vertAlign w:val="superscript"/>
              </w:rPr>
              <w:t>2</w:t>
            </w:r>
          </w:p>
        </w:tc>
        <w:tc>
          <w:tcPr>
            <w:tcW w:w="1623"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color w:val="000000" w:themeColor="text1"/>
                <w:sz w:val="20"/>
                <w:szCs w:val="20"/>
              </w:rPr>
              <w:t>50</w:t>
            </w:r>
            <w:r>
              <w:rPr>
                <w:rFonts w:eastAsia="Times New Roman"/>
                <w:color w:val="000000" w:themeColor="text1"/>
                <w:sz w:val="20"/>
                <w:szCs w:val="20"/>
              </w:rPr>
              <w:t xml:space="preserve"> percent</w:t>
            </w:r>
          </w:p>
        </w:tc>
        <w:tc>
          <w:tcPr>
            <w:tcW w:w="689" w:type="pct"/>
            <w:tcBorders>
              <w:top w:val="nil"/>
              <w:left w:val="nil"/>
              <w:bottom w:val="nil"/>
              <w:right w:val="nil"/>
            </w:tcBorders>
            <w:shd w:val="clear" w:color="auto" w:fill="auto"/>
            <w:noWrap/>
          </w:tcPr>
          <w:p w:rsidR="009C5CE8" w:rsidRPr="00DA4525" w:rsidRDefault="009C5CE8" w:rsidP="00F03239">
            <w:pPr>
              <w:jc w:val="center"/>
              <w:rPr>
                <w:rFonts w:eastAsia="Times New Roman"/>
                <w:bCs/>
                <w:color w:val="000000" w:themeColor="text1"/>
                <w:sz w:val="20"/>
                <w:szCs w:val="20"/>
              </w:rPr>
            </w:pPr>
            <w:r w:rsidRPr="00DA4525">
              <w:rPr>
                <w:rFonts w:eastAsia="Times New Roman"/>
                <w:color w:val="000000" w:themeColor="text1"/>
                <w:sz w:val="20"/>
                <w:szCs w:val="20"/>
              </w:rPr>
              <w:t>NO</w:t>
            </w:r>
            <w:r w:rsidRPr="00DA4525">
              <w:rPr>
                <w:rFonts w:eastAsia="Times New Roman"/>
                <w:color w:val="000000" w:themeColor="text1"/>
                <w:sz w:val="20"/>
                <w:szCs w:val="20"/>
                <w:vertAlign w:val="subscript"/>
              </w:rPr>
              <w:t>X</w:t>
            </w:r>
          </w:p>
        </w:tc>
      </w:tr>
      <w:tr w:rsidR="009C5CE8" w:rsidRPr="00DA4525" w:rsidTr="00F03239">
        <w:trPr>
          <w:trHeight w:val="255"/>
        </w:trPr>
        <w:tc>
          <w:tcPr>
            <w:tcW w:w="688"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bCs/>
                <w:color w:val="000000" w:themeColor="text1"/>
                <w:sz w:val="20"/>
                <w:szCs w:val="20"/>
              </w:rPr>
              <w:t>11</w:t>
            </w:r>
          </w:p>
        </w:tc>
        <w:tc>
          <w:tcPr>
            <w:tcW w:w="2000"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vertAlign w:val="superscript"/>
              </w:rPr>
            </w:pPr>
            <w:r w:rsidRPr="00DA4525">
              <w:rPr>
                <w:rFonts w:eastAsia="Times New Roman"/>
                <w:bCs/>
                <w:color w:val="000000" w:themeColor="text1"/>
                <w:sz w:val="20"/>
                <w:szCs w:val="20"/>
              </w:rPr>
              <w:t>West Texas</w:t>
            </w:r>
            <w:r w:rsidRPr="00DA4525">
              <w:rPr>
                <w:rFonts w:eastAsia="Times New Roman"/>
                <w:bCs/>
                <w:color w:val="000000" w:themeColor="text1"/>
                <w:sz w:val="20"/>
                <w:szCs w:val="20"/>
                <w:vertAlign w:val="superscript"/>
              </w:rPr>
              <w:t>3</w:t>
            </w:r>
          </w:p>
        </w:tc>
        <w:tc>
          <w:tcPr>
            <w:tcW w:w="1623"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color w:val="000000" w:themeColor="text1"/>
                <w:sz w:val="20"/>
                <w:szCs w:val="20"/>
              </w:rPr>
              <w:t>50</w:t>
            </w:r>
            <w:r>
              <w:rPr>
                <w:rFonts w:eastAsia="Times New Roman"/>
                <w:color w:val="000000" w:themeColor="text1"/>
                <w:sz w:val="20"/>
                <w:szCs w:val="20"/>
              </w:rPr>
              <w:t xml:space="preserve"> percent</w:t>
            </w:r>
          </w:p>
        </w:tc>
        <w:tc>
          <w:tcPr>
            <w:tcW w:w="689" w:type="pct"/>
            <w:tcBorders>
              <w:top w:val="nil"/>
              <w:left w:val="nil"/>
              <w:bottom w:val="nil"/>
              <w:right w:val="nil"/>
            </w:tcBorders>
            <w:shd w:val="clear" w:color="auto" w:fill="auto"/>
            <w:noWrap/>
          </w:tcPr>
          <w:p w:rsidR="009C5CE8" w:rsidRPr="00DA4525" w:rsidRDefault="009C5CE8" w:rsidP="00F03239">
            <w:pPr>
              <w:jc w:val="center"/>
              <w:rPr>
                <w:rFonts w:eastAsia="Times New Roman"/>
                <w:bCs/>
                <w:color w:val="000000" w:themeColor="text1"/>
                <w:sz w:val="20"/>
                <w:szCs w:val="20"/>
              </w:rPr>
            </w:pPr>
            <w:r w:rsidRPr="00DA4525">
              <w:rPr>
                <w:rFonts w:eastAsia="Times New Roman"/>
                <w:color w:val="000000" w:themeColor="text1"/>
                <w:sz w:val="20"/>
                <w:szCs w:val="20"/>
              </w:rPr>
              <w:t>NO</w:t>
            </w:r>
            <w:r w:rsidRPr="00DA4525">
              <w:rPr>
                <w:rFonts w:eastAsia="Times New Roman"/>
                <w:color w:val="000000" w:themeColor="text1"/>
                <w:sz w:val="20"/>
                <w:szCs w:val="20"/>
                <w:vertAlign w:val="subscript"/>
              </w:rPr>
              <w:t>X</w:t>
            </w:r>
          </w:p>
        </w:tc>
      </w:tr>
      <w:tr w:rsidR="009C5CE8" w:rsidRPr="00DA4525" w:rsidTr="00F03239">
        <w:trPr>
          <w:trHeight w:val="255"/>
        </w:trPr>
        <w:tc>
          <w:tcPr>
            <w:tcW w:w="688"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bCs/>
                <w:color w:val="000000" w:themeColor="text1"/>
                <w:sz w:val="20"/>
                <w:szCs w:val="20"/>
              </w:rPr>
              <w:t>12</w:t>
            </w:r>
          </w:p>
        </w:tc>
        <w:tc>
          <w:tcPr>
            <w:tcW w:w="2000"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bCs/>
                <w:color w:val="000000" w:themeColor="text1"/>
                <w:sz w:val="20"/>
                <w:szCs w:val="20"/>
              </w:rPr>
              <w:t>Oklahoma, Arkansas, Louisiana</w:t>
            </w:r>
          </w:p>
        </w:tc>
        <w:tc>
          <w:tcPr>
            <w:tcW w:w="1623"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color w:val="000000" w:themeColor="text1"/>
                <w:sz w:val="20"/>
                <w:szCs w:val="20"/>
              </w:rPr>
              <w:t>50</w:t>
            </w:r>
            <w:r>
              <w:rPr>
                <w:rFonts w:eastAsia="Times New Roman"/>
                <w:color w:val="000000" w:themeColor="text1"/>
                <w:sz w:val="20"/>
                <w:szCs w:val="20"/>
              </w:rPr>
              <w:t xml:space="preserve"> percent</w:t>
            </w:r>
          </w:p>
        </w:tc>
        <w:tc>
          <w:tcPr>
            <w:tcW w:w="689" w:type="pct"/>
            <w:tcBorders>
              <w:top w:val="nil"/>
              <w:left w:val="nil"/>
              <w:bottom w:val="nil"/>
              <w:right w:val="nil"/>
            </w:tcBorders>
            <w:shd w:val="clear" w:color="auto" w:fill="auto"/>
            <w:noWrap/>
          </w:tcPr>
          <w:p w:rsidR="009C5CE8" w:rsidRPr="00DA4525" w:rsidRDefault="009C5CE8" w:rsidP="00F03239">
            <w:pPr>
              <w:jc w:val="center"/>
              <w:rPr>
                <w:rFonts w:eastAsia="Times New Roman"/>
                <w:bCs/>
                <w:color w:val="000000" w:themeColor="text1"/>
                <w:sz w:val="20"/>
                <w:szCs w:val="20"/>
              </w:rPr>
            </w:pPr>
            <w:r w:rsidRPr="00DA4525">
              <w:rPr>
                <w:rFonts w:eastAsia="Times New Roman"/>
                <w:color w:val="000000" w:themeColor="text1"/>
                <w:sz w:val="20"/>
                <w:szCs w:val="20"/>
              </w:rPr>
              <w:t>NO</w:t>
            </w:r>
            <w:r w:rsidRPr="00DA4525">
              <w:rPr>
                <w:rFonts w:eastAsia="Times New Roman"/>
                <w:color w:val="000000" w:themeColor="text1"/>
                <w:sz w:val="20"/>
                <w:szCs w:val="20"/>
                <w:vertAlign w:val="subscript"/>
              </w:rPr>
              <w:t>X</w:t>
            </w:r>
          </w:p>
        </w:tc>
      </w:tr>
      <w:tr w:rsidR="009C5CE8" w:rsidRPr="00DA4525" w:rsidTr="00F03239">
        <w:trPr>
          <w:trHeight w:val="255"/>
        </w:trPr>
        <w:tc>
          <w:tcPr>
            <w:tcW w:w="688"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bCs/>
                <w:color w:val="000000" w:themeColor="text1"/>
                <w:sz w:val="20"/>
                <w:szCs w:val="20"/>
              </w:rPr>
              <w:t>13</w:t>
            </w:r>
          </w:p>
        </w:tc>
        <w:tc>
          <w:tcPr>
            <w:tcW w:w="2000"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bCs/>
                <w:color w:val="000000" w:themeColor="text1"/>
                <w:sz w:val="20"/>
                <w:szCs w:val="20"/>
              </w:rPr>
              <w:t>Kansas and Missouri</w:t>
            </w:r>
          </w:p>
        </w:tc>
        <w:tc>
          <w:tcPr>
            <w:tcW w:w="1623"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color w:val="000000" w:themeColor="text1"/>
                <w:sz w:val="20"/>
                <w:szCs w:val="20"/>
              </w:rPr>
              <w:t>50</w:t>
            </w:r>
            <w:r>
              <w:rPr>
                <w:rFonts w:eastAsia="Times New Roman"/>
                <w:color w:val="000000" w:themeColor="text1"/>
                <w:sz w:val="20"/>
                <w:szCs w:val="20"/>
              </w:rPr>
              <w:t xml:space="preserve"> percent</w:t>
            </w:r>
          </w:p>
        </w:tc>
        <w:tc>
          <w:tcPr>
            <w:tcW w:w="689" w:type="pct"/>
            <w:tcBorders>
              <w:top w:val="nil"/>
              <w:left w:val="nil"/>
              <w:bottom w:val="nil"/>
              <w:right w:val="nil"/>
            </w:tcBorders>
            <w:shd w:val="clear" w:color="auto" w:fill="auto"/>
            <w:noWrap/>
          </w:tcPr>
          <w:p w:rsidR="009C5CE8" w:rsidRPr="00DA4525" w:rsidRDefault="009C5CE8" w:rsidP="00F03239">
            <w:pPr>
              <w:jc w:val="center"/>
              <w:rPr>
                <w:rFonts w:eastAsia="Times New Roman"/>
                <w:bCs/>
                <w:color w:val="000000" w:themeColor="text1"/>
                <w:sz w:val="20"/>
                <w:szCs w:val="20"/>
              </w:rPr>
            </w:pPr>
            <w:r w:rsidRPr="00DA4525">
              <w:rPr>
                <w:rFonts w:eastAsia="Times New Roman"/>
                <w:color w:val="000000" w:themeColor="text1"/>
                <w:sz w:val="20"/>
                <w:szCs w:val="20"/>
              </w:rPr>
              <w:t>NO</w:t>
            </w:r>
            <w:r w:rsidRPr="00DA4525">
              <w:rPr>
                <w:rFonts w:eastAsia="Times New Roman"/>
                <w:color w:val="000000" w:themeColor="text1"/>
                <w:sz w:val="20"/>
                <w:szCs w:val="20"/>
                <w:vertAlign w:val="subscript"/>
              </w:rPr>
              <w:t>X</w:t>
            </w:r>
          </w:p>
        </w:tc>
      </w:tr>
      <w:tr w:rsidR="009C5CE8" w:rsidRPr="00DA4525" w:rsidTr="00F03239">
        <w:trPr>
          <w:trHeight w:val="255"/>
        </w:trPr>
        <w:tc>
          <w:tcPr>
            <w:tcW w:w="688"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bCs/>
                <w:color w:val="000000" w:themeColor="text1"/>
                <w:sz w:val="20"/>
                <w:szCs w:val="20"/>
              </w:rPr>
              <w:t>14</w:t>
            </w:r>
          </w:p>
        </w:tc>
        <w:tc>
          <w:tcPr>
            <w:tcW w:w="2000"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bCs/>
                <w:color w:val="000000" w:themeColor="text1"/>
                <w:sz w:val="20"/>
                <w:szCs w:val="20"/>
              </w:rPr>
              <w:t>Wisconsin, Illinois, Indiana, and Michigan</w:t>
            </w:r>
          </w:p>
        </w:tc>
        <w:tc>
          <w:tcPr>
            <w:tcW w:w="1623"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color w:val="000000" w:themeColor="text1"/>
                <w:sz w:val="20"/>
                <w:szCs w:val="20"/>
              </w:rPr>
              <w:t>50</w:t>
            </w:r>
            <w:r>
              <w:rPr>
                <w:rFonts w:eastAsia="Times New Roman"/>
                <w:color w:val="000000" w:themeColor="text1"/>
                <w:sz w:val="20"/>
                <w:szCs w:val="20"/>
              </w:rPr>
              <w:t xml:space="preserve"> percent</w:t>
            </w:r>
          </w:p>
        </w:tc>
        <w:tc>
          <w:tcPr>
            <w:tcW w:w="689" w:type="pct"/>
            <w:tcBorders>
              <w:top w:val="nil"/>
              <w:left w:val="nil"/>
              <w:bottom w:val="nil"/>
              <w:right w:val="nil"/>
            </w:tcBorders>
            <w:shd w:val="clear" w:color="auto" w:fill="auto"/>
            <w:noWrap/>
          </w:tcPr>
          <w:p w:rsidR="009C5CE8" w:rsidRPr="00DA4525" w:rsidRDefault="009C5CE8" w:rsidP="00F03239">
            <w:pPr>
              <w:jc w:val="center"/>
              <w:rPr>
                <w:rFonts w:eastAsia="Times New Roman"/>
                <w:bCs/>
                <w:color w:val="000000" w:themeColor="text1"/>
                <w:sz w:val="20"/>
                <w:szCs w:val="20"/>
              </w:rPr>
            </w:pPr>
            <w:r w:rsidRPr="00DA4525">
              <w:rPr>
                <w:rFonts w:eastAsia="Times New Roman"/>
                <w:color w:val="000000" w:themeColor="text1"/>
                <w:sz w:val="20"/>
                <w:szCs w:val="20"/>
              </w:rPr>
              <w:t>NO</w:t>
            </w:r>
            <w:r w:rsidRPr="00DA4525">
              <w:rPr>
                <w:rFonts w:eastAsia="Times New Roman"/>
                <w:color w:val="000000" w:themeColor="text1"/>
                <w:sz w:val="20"/>
                <w:szCs w:val="20"/>
                <w:vertAlign w:val="subscript"/>
              </w:rPr>
              <w:t>X</w:t>
            </w:r>
          </w:p>
        </w:tc>
      </w:tr>
      <w:tr w:rsidR="009C5CE8" w:rsidRPr="00DA4525" w:rsidTr="00F03239">
        <w:trPr>
          <w:trHeight w:val="255"/>
        </w:trPr>
        <w:tc>
          <w:tcPr>
            <w:tcW w:w="688"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bCs/>
                <w:color w:val="000000" w:themeColor="text1"/>
                <w:sz w:val="20"/>
                <w:szCs w:val="20"/>
              </w:rPr>
              <w:t>15</w:t>
            </w:r>
          </w:p>
        </w:tc>
        <w:tc>
          <w:tcPr>
            <w:tcW w:w="2000"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bCs/>
                <w:color w:val="000000" w:themeColor="text1"/>
                <w:sz w:val="20"/>
                <w:szCs w:val="20"/>
              </w:rPr>
              <w:t xml:space="preserve">Ohio, West Virginia, Kentucky, Tennessee </w:t>
            </w:r>
          </w:p>
        </w:tc>
        <w:tc>
          <w:tcPr>
            <w:tcW w:w="1623"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color w:val="000000" w:themeColor="text1"/>
                <w:sz w:val="20"/>
                <w:szCs w:val="20"/>
              </w:rPr>
              <w:t>50</w:t>
            </w:r>
            <w:r>
              <w:rPr>
                <w:rFonts w:eastAsia="Times New Roman"/>
                <w:color w:val="000000" w:themeColor="text1"/>
                <w:sz w:val="20"/>
                <w:szCs w:val="20"/>
              </w:rPr>
              <w:t xml:space="preserve"> percent</w:t>
            </w:r>
          </w:p>
        </w:tc>
        <w:tc>
          <w:tcPr>
            <w:tcW w:w="689" w:type="pct"/>
            <w:tcBorders>
              <w:top w:val="nil"/>
              <w:left w:val="nil"/>
              <w:bottom w:val="nil"/>
              <w:right w:val="nil"/>
            </w:tcBorders>
            <w:shd w:val="clear" w:color="auto" w:fill="auto"/>
            <w:noWrap/>
          </w:tcPr>
          <w:p w:rsidR="009C5CE8" w:rsidRPr="00DA4525" w:rsidRDefault="009C5CE8" w:rsidP="00F03239">
            <w:pPr>
              <w:jc w:val="center"/>
              <w:rPr>
                <w:rFonts w:eastAsia="Times New Roman"/>
                <w:bCs/>
                <w:color w:val="000000" w:themeColor="text1"/>
                <w:sz w:val="20"/>
                <w:szCs w:val="20"/>
              </w:rPr>
            </w:pPr>
            <w:r w:rsidRPr="00DA4525">
              <w:rPr>
                <w:rFonts w:eastAsia="Times New Roman"/>
                <w:color w:val="000000" w:themeColor="text1"/>
                <w:sz w:val="20"/>
                <w:szCs w:val="20"/>
              </w:rPr>
              <w:t>NO</w:t>
            </w:r>
            <w:r w:rsidRPr="00DA4525">
              <w:rPr>
                <w:rFonts w:eastAsia="Times New Roman"/>
                <w:color w:val="000000" w:themeColor="text1"/>
                <w:sz w:val="20"/>
                <w:szCs w:val="20"/>
                <w:vertAlign w:val="subscript"/>
              </w:rPr>
              <w:t>X</w:t>
            </w:r>
          </w:p>
        </w:tc>
      </w:tr>
      <w:tr w:rsidR="009C5CE8" w:rsidRPr="00DA4525" w:rsidTr="00F03239">
        <w:trPr>
          <w:trHeight w:val="255"/>
        </w:trPr>
        <w:tc>
          <w:tcPr>
            <w:tcW w:w="688"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bCs/>
                <w:color w:val="000000" w:themeColor="text1"/>
                <w:sz w:val="20"/>
                <w:szCs w:val="20"/>
              </w:rPr>
              <w:t>16</w:t>
            </w:r>
          </w:p>
        </w:tc>
        <w:tc>
          <w:tcPr>
            <w:tcW w:w="2000"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vertAlign w:val="superscript"/>
              </w:rPr>
            </w:pPr>
            <w:r w:rsidRPr="00DA4525">
              <w:rPr>
                <w:rFonts w:eastAsia="Times New Roman"/>
                <w:bCs/>
                <w:color w:val="000000" w:themeColor="text1"/>
                <w:sz w:val="20"/>
                <w:szCs w:val="20"/>
              </w:rPr>
              <w:t xml:space="preserve">Northeastern </w:t>
            </w:r>
            <w:r>
              <w:rPr>
                <w:rFonts w:eastAsia="Times New Roman"/>
                <w:bCs/>
                <w:color w:val="000000" w:themeColor="text1"/>
                <w:sz w:val="20"/>
                <w:szCs w:val="20"/>
              </w:rPr>
              <w:t>U.S.</w:t>
            </w:r>
            <w:r w:rsidRPr="00DA4525">
              <w:rPr>
                <w:rFonts w:eastAsia="Times New Roman"/>
                <w:bCs/>
                <w:color w:val="000000" w:themeColor="text1"/>
                <w:sz w:val="20"/>
                <w:szCs w:val="20"/>
                <w:vertAlign w:val="superscript"/>
              </w:rPr>
              <w:t>4</w:t>
            </w:r>
          </w:p>
        </w:tc>
        <w:tc>
          <w:tcPr>
            <w:tcW w:w="1623"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color w:val="000000" w:themeColor="text1"/>
                <w:sz w:val="20"/>
                <w:szCs w:val="20"/>
              </w:rPr>
              <w:t>50</w:t>
            </w:r>
            <w:r>
              <w:rPr>
                <w:rFonts w:eastAsia="Times New Roman"/>
                <w:color w:val="000000" w:themeColor="text1"/>
                <w:sz w:val="20"/>
                <w:szCs w:val="20"/>
              </w:rPr>
              <w:t xml:space="preserve"> percent</w:t>
            </w:r>
          </w:p>
        </w:tc>
        <w:tc>
          <w:tcPr>
            <w:tcW w:w="689" w:type="pct"/>
            <w:tcBorders>
              <w:top w:val="nil"/>
              <w:left w:val="nil"/>
              <w:bottom w:val="nil"/>
              <w:right w:val="nil"/>
            </w:tcBorders>
            <w:shd w:val="clear" w:color="auto" w:fill="auto"/>
            <w:noWrap/>
          </w:tcPr>
          <w:p w:rsidR="009C5CE8" w:rsidRPr="00DA4525" w:rsidRDefault="009C5CE8" w:rsidP="00F03239">
            <w:pPr>
              <w:jc w:val="center"/>
              <w:rPr>
                <w:rFonts w:eastAsia="Times New Roman"/>
                <w:bCs/>
                <w:color w:val="000000" w:themeColor="text1"/>
                <w:sz w:val="20"/>
                <w:szCs w:val="20"/>
              </w:rPr>
            </w:pPr>
            <w:r w:rsidRPr="00DA4525">
              <w:rPr>
                <w:rFonts w:eastAsia="Times New Roman"/>
                <w:color w:val="000000" w:themeColor="text1"/>
                <w:sz w:val="20"/>
                <w:szCs w:val="20"/>
              </w:rPr>
              <w:t>NO</w:t>
            </w:r>
            <w:r w:rsidRPr="00DA4525">
              <w:rPr>
                <w:rFonts w:eastAsia="Times New Roman"/>
                <w:color w:val="000000" w:themeColor="text1"/>
                <w:sz w:val="20"/>
                <w:szCs w:val="20"/>
                <w:vertAlign w:val="subscript"/>
              </w:rPr>
              <w:t>X</w:t>
            </w:r>
          </w:p>
        </w:tc>
      </w:tr>
      <w:tr w:rsidR="009C5CE8" w:rsidRPr="00DA4525" w:rsidTr="00F03239">
        <w:trPr>
          <w:trHeight w:val="255"/>
        </w:trPr>
        <w:tc>
          <w:tcPr>
            <w:tcW w:w="688"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bCs/>
                <w:color w:val="000000" w:themeColor="text1"/>
                <w:sz w:val="20"/>
                <w:szCs w:val="20"/>
              </w:rPr>
              <w:t>17</w:t>
            </w:r>
          </w:p>
        </w:tc>
        <w:tc>
          <w:tcPr>
            <w:tcW w:w="2000"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vertAlign w:val="superscript"/>
              </w:rPr>
            </w:pPr>
            <w:r w:rsidRPr="00DA4525">
              <w:rPr>
                <w:rFonts w:eastAsia="Times New Roman"/>
                <w:bCs/>
                <w:color w:val="000000" w:themeColor="text1"/>
                <w:sz w:val="20"/>
                <w:szCs w:val="20"/>
              </w:rPr>
              <w:t>Virgina</w:t>
            </w:r>
            <w:r w:rsidRPr="00DA4525">
              <w:rPr>
                <w:rFonts w:eastAsia="Times New Roman"/>
                <w:bCs/>
                <w:color w:val="000000" w:themeColor="text1"/>
                <w:sz w:val="20"/>
                <w:szCs w:val="20"/>
                <w:vertAlign w:val="superscript"/>
              </w:rPr>
              <w:t>5</w:t>
            </w:r>
          </w:p>
        </w:tc>
        <w:tc>
          <w:tcPr>
            <w:tcW w:w="1623" w:type="pct"/>
            <w:tcBorders>
              <w:top w:val="nil"/>
              <w:left w:val="nil"/>
              <w:bottom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color w:val="000000" w:themeColor="text1"/>
                <w:sz w:val="20"/>
                <w:szCs w:val="20"/>
              </w:rPr>
              <w:t>50</w:t>
            </w:r>
            <w:r>
              <w:rPr>
                <w:rFonts w:eastAsia="Times New Roman"/>
                <w:color w:val="000000" w:themeColor="text1"/>
                <w:sz w:val="20"/>
                <w:szCs w:val="20"/>
              </w:rPr>
              <w:t xml:space="preserve"> percent</w:t>
            </w:r>
          </w:p>
        </w:tc>
        <w:tc>
          <w:tcPr>
            <w:tcW w:w="689" w:type="pct"/>
            <w:tcBorders>
              <w:top w:val="nil"/>
              <w:left w:val="nil"/>
              <w:bottom w:val="nil"/>
              <w:right w:val="nil"/>
            </w:tcBorders>
            <w:shd w:val="clear" w:color="auto" w:fill="auto"/>
            <w:noWrap/>
          </w:tcPr>
          <w:p w:rsidR="009C5CE8" w:rsidRPr="00DA4525" w:rsidRDefault="009C5CE8" w:rsidP="00F03239">
            <w:pPr>
              <w:jc w:val="center"/>
              <w:rPr>
                <w:rFonts w:eastAsia="Times New Roman"/>
                <w:bCs/>
                <w:color w:val="000000" w:themeColor="text1"/>
                <w:sz w:val="20"/>
                <w:szCs w:val="20"/>
              </w:rPr>
            </w:pPr>
            <w:r w:rsidRPr="00DA4525">
              <w:rPr>
                <w:rFonts w:eastAsia="Times New Roman"/>
                <w:color w:val="000000" w:themeColor="text1"/>
                <w:sz w:val="20"/>
                <w:szCs w:val="20"/>
              </w:rPr>
              <w:t>NO</w:t>
            </w:r>
            <w:r w:rsidRPr="00DA4525">
              <w:rPr>
                <w:rFonts w:eastAsia="Times New Roman"/>
                <w:color w:val="000000" w:themeColor="text1"/>
                <w:sz w:val="20"/>
                <w:szCs w:val="20"/>
                <w:vertAlign w:val="subscript"/>
              </w:rPr>
              <w:t>X</w:t>
            </w:r>
          </w:p>
        </w:tc>
      </w:tr>
      <w:tr w:rsidR="009C5CE8" w:rsidRPr="00DA4525" w:rsidTr="00F03239">
        <w:trPr>
          <w:trHeight w:val="255"/>
        </w:trPr>
        <w:tc>
          <w:tcPr>
            <w:tcW w:w="688" w:type="pct"/>
            <w:tcBorders>
              <w:top w:val="nil"/>
              <w:left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bCs/>
                <w:color w:val="000000" w:themeColor="text1"/>
                <w:sz w:val="20"/>
                <w:szCs w:val="20"/>
              </w:rPr>
              <w:t>18</w:t>
            </w:r>
          </w:p>
        </w:tc>
        <w:tc>
          <w:tcPr>
            <w:tcW w:w="2000" w:type="pct"/>
            <w:tcBorders>
              <w:top w:val="nil"/>
              <w:left w:val="nil"/>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bCs/>
                <w:color w:val="000000" w:themeColor="text1"/>
                <w:sz w:val="20"/>
                <w:szCs w:val="20"/>
              </w:rPr>
              <w:t>All other states in the Contiguous U.S.</w:t>
            </w:r>
          </w:p>
        </w:tc>
        <w:tc>
          <w:tcPr>
            <w:tcW w:w="1623" w:type="pct"/>
            <w:tcBorders>
              <w:top w:val="nil"/>
              <w:left w:val="nil"/>
              <w:right w:val="nil"/>
            </w:tcBorders>
            <w:shd w:val="clear" w:color="auto" w:fill="auto"/>
            <w:noWrap/>
            <w:vAlign w:val="bottom"/>
          </w:tcPr>
          <w:p w:rsidR="009C5CE8" w:rsidRPr="00DA4525" w:rsidRDefault="009C5CE8" w:rsidP="00F03239">
            <w:pPr>
              <w:jc w:val="center"/>
              <w:rPr>
                <w:rFonts w:eastAsia="Times New Roman"/>
                <w:color w:val="000000" w:themeColor="text1"/>
                <w:sz w:val="20"/>
                <w:szCs w:val="20"/>
              </w:rPr>
            </w:pPr>
            <w:r w:rsidRPr="00DA4525">
              <w:rPr>
                <w:rFonts w:eastAsia="Times New Roman"/>
                <w:color w:val="000000" w:themeColor="text1"/>
                <w:sz w:val="20"/>
                <w:szCs w:val="20"/>
              </w:rPr>
              <w:t>50</w:t>
            </w:r>
            <w:r>
              <w:rPr>
                <w:rFonts w:eastAsia="Times New Roman"/>
                <w:color w:val="000000" w:themeColor="text1"/>
                <w:sz w:val="20"/>
                <w:szCs w:val="20"/>
              </w:rPr>
              <w:t xml:space="preserve"> percent</w:t>
            </w:r>
          </w:p>
        </w:tc>
        <w:tc>
          <w:tcPr>
            <w:tcW w:w="689" w:type="pct"/>
            <w:tcBorders>
              <w:top w:val="nil"/>
              <w:left w:val="nil"/>
              <w:right w:val="nil"/>
            </w:tcBorders>
            <w:shd w:val="clear" w:color="auto" w:fill="auto"/>
            <w:noWrap/>
          </w:tcPr>
          <w:p w:rsidR="009C5CE8" w:rsidRPr="00DA4525" w:rsidRDefault="009C5CE8" w:rsidP="00F03239">
            <w:pPr>
              <w:jc w:val="center"/>
              <w:rPr>
                <w:rFonts w:eastAsia="Times New Roman"/>
                <w:bCs/>
                <w:color w:val="000000" w:themeColor="text1"/>
                <w:sz w:val="20"/>
                <w:szCs w:val="20"/>
              </w:rPr>
            </w:pPr>
            <w:r w:rsidRPr="00DA4525">
              <w:rPr>
                <w:rFonts w:eastAsia="Times New Roman"/>
                <w:color w:val="000000" w:themeColor="text1"/>
                <w:sz w:val="20"/>
                <w:szCs w:val="20"/>
              </w:rPr>
              <w:t>NO</w:t>
            </w:r>
            <w:r w:rsidRPr="00DA4525">
              <w:rPr>
                <w:rFonts w:eastAsia="Times New Roman"/>
                <w:color w:val="000000" w:themeColor="text1"/>
                <w:sz w:val="20"/>
                <w:szCs w:val="20"/>
                <w:vertAlign w:val="subscript"/>
              </w:rPr>
              <w:t>X</w:t>
            </w:r>
          </w:p>
        </w:tc>
      </w:tr>
      <w:tr w:rsidR="009C5CE8" w:rsidRPr="00DA4525" w:rsidTr="00F03239">
        <w:trPr>
          <w:trHeight w:val="255"/>
        </w:trPr>
        <w:tc>
          <w:tcPr>
            <w:tcW w:w="688" w:type="pct"/>
            <w:tcBorders>
              <w:top w:val="nil"/>
              <w:left w:val="nil"/>
              <w:bottom w:val="double" w:sz="4" w:space="0" w:color="auto"/>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bCs/>
                <w:color w:val="000000" w:themeColor="text1"/>
                <w:sz w:val="20"/>
                <w:szCs w:val="20"/>
              </w:rPr>
              <w:t>19</w:t>
            </w:r>
          </w:p>
        </w:tc>
        <w:tc>
          <w:tcPr>
            <w:tcW w:w="2000" w:type="pct"/>
            <w:tcBorders>
              <w:top w:val="nil"/>
              <w:left w:val="nil"/>
              <w:bottom w:val="double" w:sz="4" w:space="0" w:color="auto"/>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bCs/>
                <w:color w:val="000000" w:themeColor="text1"/>
                <w:sz w:val="20"/>
                <w:szCs w:val="20"/>
              </w:rPr>
              <w:t>National</w:t>
            </w:r>
          </w:p>
        </w:tc>
        <w:tc>
          <w:tcPr>
            <w:tcW w:w="1623" w:type="pct"/>
            <w:tcBorders>
              <w:top w:val="nil"/>
              <w:left w:val="nil"/>
              <w:bottom w:val="double" w:sz="4" w:space="0" w:color="auto"/>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color w:val="000000" w:themeColor="text1"/>
                <w:sz w:val="20"/>
                <w:szCs w:val="20"/>
              </w:rPr>
              <w:t>50</w:t>
            </w:r>
            <w:r>
              <w:rPr>
                <w:rFonts w:eastAsia="Times New Roman"/>
                <w:color w:val="000000" w:themeColor="text1"/>
                <w:sz w:val="20"/>
                <w:szCs w:val="20"/>
              </w:rPr>
              <w:t xml:space="preserve"> percent</w:t>
            </w:r>
          </w:p>
        </w:tc>
        <w:tc>
          <w:tcPr>
            <w:tcW w:w="689" w:type="pct"/>
            <w:tcBorders>
              <w:top w:val="nil"/>
              <w:left w:val="nil"/>
              <w:bottom w:val="double" w:sz="4" w:space="0" w:color="auto"/>
              <w:right w:val="nil"/>
            </w:tcBorders>
            <w:shd w:val="clear" w:color="auto" w:fill="auto"/>
            <w:noWrap/>
            <w:vAlign w:val="bottom"/>
          </w:tcPr>
          <w:p w:rsidR="009C5CE8" w:rsidRPr="00DA4525" w:rsidRDefault="009C5CE8" w:rsidP="00F03239">
            <w:pPr>
              <w:jc w:val="center"/>
              <w:rPr>
                <w:rFonts w:eastAsia="Times New Roman"/>
                <w:bCs/>
                <w:color w:val="000000" w:themeColor="text1"/>
                <w:sz w:val="20"/>
                <w:szCs w:val="20"/>
              </w:rPr>
            </w:pPr>
            <w:r w:rsidRPr="00DA4525">
              <w:rPr>
                <w:rFonts w:eastAsia="Times New Roman"/>
                <w:bCs/>
                <w:color w:val="000000" w:themeColor="text1"/>
                <w:sz w:val="20"/>
                <w:szCs w:val="20"/>
              </w:rPr>
              <w:t>VOC</w:t>
            </w:r>
          </w:p>
        </w:tc>
      </w:tr>
    </w:tbl>
    <w:p w:rsidR="009C5CE8" w:rsidRPr="00DA4525" w:rsidRDefault="009C5CE8" w:rsidP="009C5CE8">
      <w:pPr>
        <w:pStyle w:val="ListParagraph"/>
        <w:ind w:left="0"/>
        <w:rPr>
          <w:color w:val="000000" w:themeColor="text1"/>
          <w:sz w:val="18"/>
          <w:szCs w:val="18"/>
        </w:rPr>
      </w:pPr>
      <w:r w:rsidRPr="000C344F">
        <w:rPr>
          <w:color w:val="000000" w:themeColor="text1"/>
          <w:sz w:val="18"/>
          <w:szCs w:val="18"/>
          <w:vertAlign w:val="superscript"/>
        </w:rPr>
        <w:t xml:space="preserve">1 </w:t>
      </w:r>
      <w:r>
        <w:rPr>
          <w:color w:val="000000" w:themeColor="text1"/>
          <w:sz w:val="18"/>
          <w:szCs w:val="18"/>
        </w:rPr>
        <w:t xml:space="preserve">This scenario applied all additional </w:t>
      </w:r>
      <w:r w:rsidR="00D44B6A">
        <w:rPr>
          <w:color w:val="000000" w:themeColor="text1"/>
          <w:sz w:val="18"/>
          <w:szCs w:val="18"/>
        </w:rPr>
        <w:t>control measures</w:t>
      </w:r>
      <w:r>
        <w:rPr>
          <w:color w:val="000000" w:themeColor="text1"/>
          <w:sz w:val="18"/>
          <w:szCs w:val="18"/>
        </w:rPr>
        <w:t xml:space="preserve"> in</w:t>
      </w:r>
      <w:r w:rsidRPr="00DA4525">
        <w:rPr>
          <w:color w:val="000000" w:themeColor="text1"/>
          <w:sz w:val="18"/>
          <w:szCs w:val="18"/>
        </w:rPr>
        <w:t xml:space="preserve"> California using</w:t>
      </w:r>
      <w:r w:rsidR="00006AA2">
        <w:rPr>
          <w:color w:val="000000" w:themeColor="text1"/>
          <w:sz w:val="18"/>
          <w:szCs w:val="18"/>
        </w:rPr>
        <w:t xml:space="preserve"> the</w:t>
      </w:r>
      <w:r w:rsidRPr="00DA4525">
        <w:rPr>
          <w:color w:val="000000" w:themeColor="text1"/>
          <w:sz w:val="18"/>
          <w:szCs w:val="18"/>
        </w:rPr>
        <w:t xml:space="preserve"> U.S. EP</w:t>
      </w:r>
      <w:r>
        <w:rPr>
          <w:color w:val="000000" w:themeColor="text1"/>
          <w:sz w:val="18"/>
          <w:szCs w:val="18"/>
        </w:rPr>
        <w:t>A’s CoST tool, as described in U.S. EPA (</w:t>
      </w:r>
      <w:r w:rsidR="00674EE3">
        <w:rPr>
          <w:color w:val="000000" w:themeColor="text1"/>
          <w:sz w:val="18"/>
          <w:szCs w:val="18"/>
        </w:rPr>
        <w:t>2014</w:t>
      </w:r>
      <w:r>
        <w:rPr>
          <w:color w:val="000000" w:themeColor="text1"/>
          <w:sz w:val="18"/>
          <w:szCs w:val="18"/>
        </w:rPr>
        <w:t>).</w:t>
      </w:r>
    </w:p>
    <w:p w:rsidR="009C5CE8" w:rsidRPr="00DA4525" w:rsidRDefault="009C5CE8" w:rsidP="009C5CE8">
      <w:pPr>
        <w:pStyle w:val="ListParagraph"/>
        <w:ind w:left="0"/>
        <w:rPr>
          <w:color w:val="000000" w:themeColor="text1"/>
          <w:sz w:val="18"/>
          <w:szCs w:val="18"/>
        </w:rPr>
      </w:pPr>
      <w:r w:rsidRPr="000C344F">
        <w:rPr>
          <w:color w:val="000000" w:themeColor="text1"/>
          <w:sz w:val="18"/>
          <w:szCs w:val="18"/>
          <w:vertAlign w:val="superscript"/>
        </w:rPr>
        <w:t xml:space="preserve">2 </w:t>
      </w:r>
      <w:r w:rsidRPr="00DA4525">
        <w:rPr>
          <w:color w:val="000000" w:themeColor="text1"/>
          <w:sz w:val="18"/>
          <w:szCs w:val="18"/>
        </w:rPr>
        <w:t xml:space="preserve">East Texas </w:t>
      </w:r>
      <w:r>
        <w:rPr>
          <w:color w:val="000000" w:themeColor="text1"/>
          <w:sz w:val="18"/>
          <w:szCs w:val="18"/>
        </w:rPr>
        <w:t xml:space="preserve">is </w:t>
      </w:r>
      <w:r w:rsidRPr="00DA4525">
        <w:rPr>
          <w:color w:val="000000" w:themeColor="text1"/>
          <w:sz w:val="18"/>
          <w:szCs w:val="18"/>
        </w:rPr>
        <w:t>defined as including all T</w:t>
      </w:r>
      <w:r>
        <w:rPr>
          <w:color w:val="000000" w:themeColor="text1"/>
          <w:sz w:val="18"/>
          <w:szCs w:val="18"/>
        </w:rPr>
        <w:t>exas</w:t>
      </w:r>
      <w:r w:rsidRPr="00DA4525">
        <w:rPr>
          <w:color w:val="000000" w:themeColor="text1"/>
          <w:sz w:val="18"/>
          <w:szCs w:val="18"/>
        </w:rPr>
        <w:t xml:space="preserve"> counties within 200 km of T</w:t>
      </w:r>
      <w:r>
        <w:rPr>
          <w:color w:val="000000" w:themeColor="text1"/>
          <w:sz w:val="18"/>
          <w:szCs w:val="18"/>
        </w:rPr>
        <w:t>exas</w:t>
      </w:r>
      <w:r w:rsidRPr="00DA4525">
        <w:rPr>
          <w:color w:val="000000" w:themeColor="text1"/>
          <w:sz w:val="18"/>
          <w:szCs w:val="18"/>
        </w:rPr>
        <w:t xml:space="preserve"> monitors projected to have ozone concentrations above 70 ppb in 2025 (EPA 2014</w:t>
      </w:r>
      <w:r w:rsidR="00674EE3">
        <w:rPr>
          <w:color w:val="000000" w:themeColor="text1"/>
          <w:sz w:val="18"/>
          <w:szCs w:val="18"/>
        </w:rPr>
        <w:t>)</w:t>
      </w:r>
      <w:r>
        <w:rPr>
          <w:color w:val="000000" w:themeColor="text1"/>
          <w:sz w:val="18"/>
          <w:szCs w:val="18"/>
        </w:rPr>
        <w:t>.</w:t>
      </w:r>
    </w:p>
    <w:p w:rsidR="009C5CE8" w:rsidRPr="00DA4525" w:rsidRDefault="009C5CE8" w:rsidP="009C5CE8">
      <w:pPr>
        <w:pStyle w:val="ListParagraph"/>
        <w:ind w:left="0"/>
        <w:rPr>
          <w:color w:val="000000" w:themeColor="text1"/>
          <w:sz w:val="18"/>
          <w:szCs w:val="18"/>
        </w:rPr>
      </w:pPr>
      <w:r w:rsidRPr="000C344F">
        <w:rPr>
          <w:color w:val="000000" w:themeColor="text1"/>
          <w:sz w:val="18"/>
          <w:szCs w:val="18"/>
          <w:vertAlign w:val="superscript"/>
        </w:rPr>
        <w:t xml:space="preserve">3 </w:t>
      </w:r>
      <w:r w:rsidRPr="00DA4525">
        <w:rPr>
          <w:color w:val="000000" w:themeColor="text1"/>
          <w:sz w:val="18"/>
          <w:szCs w:val="18"/>
        </w:rPr>
        <w:t xml:space="preserve">West Texas </w:t>
      </w:r>
      <w:r>
        <w:rPr>
          <w:color w:val="000000" w:themeColor="text1"/>
          <w:sz w:val="18"/>
          <w:szCs w:val="18"/>
        </w:rPr>
        <w:t xml:space="preserve">is </w:t>
      </w:r>
      <w:r w:rsidRPr="00DA4525">
        <w:rPr>
          <w:color w:val="000000" w:themeColor="text1"/>
          <w:sz w:val="18"/>
          <w:szCs w:val="18"/>
        </w:rPr>
        <w:t>defined as all Texas counties not included in the East Texas region</w:t>
      </w:r>
      <w:r>
        <w:rPr>
          <w:color w:val="000000" w:themeColor="text1"/>
          <w:sz w:val="18"/>
          <w:szCs w:val="18"/>
        </w:rPr>
        <w:t>.</w:t>
      </w:r>
    </w:p>
    <w:p w:rsidR="009C5CE8" w:rsidRPr="00DA4525" w:rsidRDefault="009C5CE8" w:rsidP="009C5CE8">
      <w:pPr>
        <w:pStyle w:val="ListParagraph"/>
        <w:ind w:left="0"/>
        <w:rPr>
          <w:color w:val="000000" w:themeColor="text1"/>
          <w:sz w:val="18"/>
          <w:szCs w:val="18"/>
        </w:rPr>
      </w:pPr>
      <w:r w:rsidRPr="000C344F">
        <w:rPr>
          <w:color w:val="000000" w:themeColor="text1"/>
          <w:sz w:val="18"/>
          <w:szCs w:val="18"/>
          <w:vertAlign w:val="superscript"/>
        </w:rPr>
        <w:t xml:space="preserve">4 </w:t>
      </w:r>
      <w:r w:rsidRPr="00DA4525">
        <w:rPr>
          <w:color w:val="000000" w:themeColor="text1"/>
          <w:sz w:val="18"/>
          <w:szCs w:val="18"/>
        </w:rPr>
        <w:t xml:space="preserve">Northeastern </w:t>
      </w:r>
      <w:r>
        <w:rPr>
          <w:color w:val="000000" w:themeColor="text1"/>
          <w:sz w:val="18"/>
          <w:szCs w:val="18"/>
        </w:rPr>
        <w:t>U.S.</w:t>
      </w:r>
      <w:r w:rsidRPr="00DA4525">
        <w:rPr>
          <w:color w:val="000000" w:themeColor="text1"/>
          <w:sz w:val="18"/>
          <w:szCs w:val="18"/>
        </w:rPr>
        <w:t xml:space="preserve"> </w:t>
      </w:r>
      <w:r>
        <w:rPr>
          <w:color w:val="000000" w:themeColor="text1"/>
          <w:sz w:val="18"/>
          <w:szCs w:val="18"/>
        </w:rPr>
        <w:t xml:space="preserve">is </w:t>
      </w:r>
      <w:r w:rsidRPr="00DA4525">
        <w:rPr>
          <w:color w:val="000000" w:themeColor="text1"/>
          <w:sz w:val="18"/>
          <w:szCs w:val="18"/>
        </w:rPr>
        <w:t>defined as including all counties within 200 km of Ozone Transport Region (OTR) monitors projected to have ozone concentrations above 70 ppb in 2025 (EPA 2014).</w:t>
      </w:r>
    </w:p>
    <w:p w:rsidR="009C5CE8" w:rsidRDefault="009C5CE8" w:rsidP="009C5CE8">
      <w:pPr>
        <w:pStyle w:val="ListParagraph"/>
        <w:ind w:left="0"/>
        <w:rPr>
          <w:color w:val="000000" w:themeColor="text1"/>
          <w:sz w:val="18"/>
          <w:szCs w:val="18"/>
        </w:rPr>
      </w:pPr>
      <w:r w:rsidRPr="000C344F">
        <w:rPr>
          <w:color w:val="000000" w:themeColor="text1"/>
          <w:sz w:val="18"/>
          <w:szCs w:val="18"/>
          <w:vertAlign w:val="superscript"/>
        </w:rPr>
        <w:t xml:space="preserve">5 </w:t>
      </w:r>
      <w:r w:rsidRPr="00DA4525">
        <w:rPr>
          <w:color w:val="000000" w:themeColor="text1"/>
          <w:sz w:val="18"/>
          <w:szCs w:val="18"/>
        </w:rPr>
        <w:t xml:space="preserve">Virginia </w:t>
      </w:r>
      <w:r>
        <w:rPr>
          <w:color w:val="000000" w:themeColor="text1"/>
          <w:sz w:val="18"/>
          <w:szCs w:val="18"/>
        </w:rPr>
        <w:t xml:space="preserve">is </w:t>
      </w:r>
      <w:r w:rsidRPr="00DA4525">
        <w:rPr>
          <w:color w:val="000000" w:themeColor="text1"/>
          <w:sz w:val="18"/>
          <w:szCs w:val="18"/>
        </w:rPr>
        <w:t xml:space="preserve">defined as all Virginia locations not included in the Northeastern </w:t>
      </w:r>
      <w:r>
        <w:rPr>
          <w:color w:val="000000" w:themeColor="text1"/>
          <w:sz w:val="18"/>
          <w:szCs w:val="18"/>
        </w:rPr>
        <w:t>U.S.</w:t>
      </w:r>
      <w:r w:rsidRPr="00DA4525">
        <w:rPr>
          <w:color w:val="000000" w:themeColor="text1"/>
          <w:sz w:val="18"/>
          <w:szCs w:val="18"/>
        </w:rPr>
        <w:t xml:space="preserve"> region</w:t>
      </w:r>
      <w:r>
        <w:rPr>
          <w:color w:val="000000" w:themeColor="text1"/>
          <w:sz w:val="18"/>
          <w:szCs w:val="18"/>
        </w:rPr>
        <w:t>.</w:t>
      </w:r>
    </w:p>
    <w:p w:rsidR="009C5CE8" w:rsidRPr="00DA4525" w:rsidRDefault="009C5CE8" w:rsidP="009C5CE8">
      <w:pPr>
        <w:pStyle w:val="ListParagraph"/>
        <w:ind w:left="0"/>
        <w:rPr>
          <w:color w:val="000000" w:themeColor="text1"/>
          <w:sz w:val="18"/>
          <w:szCs w:val="18"/>
        </w:rPr>
      </w:pPr>
    </w:p>
    <w:p w:rsidR="009C5CE8" w:rsidRPr="00DA4525" w:rsidRDefault="009C5CE8" w:rsidP="009C5CE8">
      <w:pPr>
        <w:spacing w:line="360" w:lineRule="auto"/>
        <w:ind w:firstLine="720"/>
        <w:rPr>
          <w:color w:val="000000" w:themeColor="text1"/>
        </w:rPr>
      </w:pPr>
      <w:r w:rsidRPr="00DA4525">
        <w:rPr>
          <w:color w:val="000000" w:themeColor="text1"/>
        </w:rPr>
        <w:lastRenderedPageBreak/>
        <w:t xml:space="preserve">For each </w:t>
      </w:r>
      <w:r>
        <w:rPr>
          <w:color w:val="000000" w:themeColor="text1"/>
        </w:rPr>
        <w:t xml:space="preserve">emissions sensitivity </w:t>
      </w:r>
      <w:r w:rsidRPr="00DA4525">
        <w:rPr>
          <w:color w:val="000000" w:themeColor="text1"/>
        </w:rPr>
        <w:t xml:space="preserve">simulation, we calculated the projected ozone </w:t>
      </w:r>
      <w:r>
        <w:rPr>
          <w:color w:val="000000" w:themeColor="text1"/>
        </w:rPr>
        <w:t xml:space="preserve">design </w:t>
      </w:r>
      <w:r w:rsidRPr="00DA4525">
        <w:rPr>
          <w:color w:val="000000" w:themeColor="text1"/>
        </w:rPr>
        <w:t>values. We then estimated</w:t>
      </w:r>
      <w:r>
        <w:rPr>
          <w:color w:val="000000" w:themeColor="text1"/>
        </w:rPr>
        <w:t xml:space="preserve"> the transfer coefficient</w:t>
      </w:r>
      <w:r w:rsidRPr="00DA4525">
        <w:rPr>
          <w:color w:val="000000" w:themeColor="text1"/>
        </w:rPr>
        <w:t xml:space="preserve"> </w:t>
      </w:r>
      <w:r w:rsidRPr="00DA4525">
        <w:rPr>
          <w:color w:val="000000" w:themeColor="text1"/>
          <w:position w:val="-14"/>
        </w:rPr>
        <w:object w:dxaOrig="400" w:dyaOrig="380" w14:anchorId="3D1E702C">
          <v:shape id="_x0000_i1027" type="#_x0000_t75" style="width:17.85pt;height:17.85pt" o:ole="">
            <v:imagedata r:id="rId12" o:title=""/>
          </v:shape>
          <o:OLEObject Type="Embed" ProgID="Equation.DSMT4" ShapeID="_x0000_i1027" DrawAspect="Content" ObjectID="_1546331782" r:id="rId13"/>
        </w:object>
      </w:r>
      <w:r>
        <w:rPr>
          <w:color w:val="000000" w:themeColor="text1"/>
        </w:rPr>
        <w:t xml:space="preserve">for each </w:t>
      </w:r>
      <w:r w:rsidRPr="00DA4525">
        <w:rPr>
          <w:color w:val="000000" w:themeColor="text1"/>
        </w:rPr>
        <w:t>e</w:t>
      </w:r>
      <w:r>
        <w:rPr>
          <w:color w:val="000000" w:themeColor="text1"/>
        </w:rPr>
        <w:t>missions perturbation simulation as follows:</w:t>
      </w:r>
      <w:r w:rsidRPr="00DA4525">
        <w:rPr>
          <w:color w:val="000000" w:themeColor="text1"/>
        </w:rPr>
        <w:t xml:space="preserve"> </w:t>
      </w:r>
    </w:p>
    <w:p w:rsidR="00840000" w:rsidRPr="00840000" w:rsidRDefault="00840000" w:rsidP="00840000">
      <w:pPr>
        <w:pStyle w:val="MTDisplayEquation"/>
      </w:pPr>
      <w:r>
        <w:tab/>
      </w:r>
      <w:r>
        <w:tab/>
      </w:r>
      <w:r w:rsidRPr="00840000">
        <w:rPr>
          <w:position w:val="-32"/>
        </w:rPr>
        <w:object w:dxaOrig="2040" w:dyaOrig="740" w14:anchorId="53C21755">
          <v:shape id="_x0000_i1028" type="#_x0000_t75" style="width:101.95pt;height:36.3pt" o:ole="">
            <v:imagedata r:id="rId14" o:title=""/>
          </v:shape>
          <o:OLEObject Type="Embed" ProgID="Equation.DSMT4" ShapeID="_x0000_i1028" DrawAspect="Content" ObjectID="_1546331783" r:id="rId15"/>
        </w:object>
      </w:r>
      <w:r>
        <w:t xml:space="preserve"> </w:t>
      </w:r>
      <w:r>
        <w:tab/>
      </w:r>
      <w:r w:rsidR="000D42E3" w:rsidRPr="000D42E3">
        <w:rPr>
          <w:b w:val="0"/>
        </w:rPr>
        <w:t>(S-1)</w:t>
      </w:r>
    </w:p>
    <w:p w:rsidR="009C5CE8" w:rsidRDefault="009C5CE8" w:rsidP="009C5CE8">
      <w:pPr>
        <w:spacing w:line="360" w:lineRule="auto"/>
        <w:rPr>
          <w:color w:val="000000" w:themeColor="text1"/>
        </w:rPr>
      </w:pPr>
      <w:r>
        <w:rPr>
          <w:rFonts w:eastAsiaTheme="minorEastAsia"/>
          <w:color w:val="000000" w:themeColor="text1"/>
        </w:rPr>
        <w:t xml:space="preserve">where </w:t>
      </w:r>
      <w:r w:rsidRPr="002E3F08">
        <w:rPr>
          <w:rFonts w:eastAsiaTheme="minorEastAsia"/>
          <w:color w:val="000000" w:themeColor="text1"/>
          <w:position w:val="-12"/>
        </w:rPr>
        <w:object w:dxaOrig="600" w:dyaOrig="380" w14:anchorId="5805FF6E">
          <v:shape id="_x0000_i1029" type="#_x0000_t75" style="width:29.95pt;height:17.85pt" o:ole="">
            <v:imagedata r:id="rId16" o:title=""/>
          </v:shape>
          <o:OLEObject Type="Embed" ProgID="Equation.DSMT4" ShapeID="_x0000_i1029" DrawAspect="Content" ObjectID="_1546331784" r:id="rId17"/>
        </w:object>
      </w:r>
      <w:r w:rsidRPr="00DA4525">
        <w:rPr>
          <w:rFonts w:eastAsiaTheme="minorEastAsia"/>
          <w:color w:val="000000" w:themeColor="text1"/>
        </w:rPr>
        <w:t xml:space="preserve">represents the ozone </w:t>
      </w:r>
      <w:r>
        <w:rPr>
          <w:rFonts w:eastAsiaTheme="minorEastAsia"/>
          <w:color w:val="000000" w:themeColor="text1"/>
        </w:rPr>
        <w:t xml:space="preserve">design </w:t>
      </w:r>
      <w:r w:rsidRPr="00DA4525">
        <w:rPr>
          <w:rFonts w:eastAsiaTheme="minorEastAsia"/>
          <w:color w:val="000000" w:themeColor="text1"/>
        </w:rPr>
        <w:t xml:space="preserve">value at monitor </w:t>
      </w:r>
      <w:r w:rsidRPr="002E3F08">
        <w:rPr>
          <w:rFonts w:eastAsiaTheme="minorEastAsia"/>
          <w:i/>
          <w:color w:val="000000" w:themeColor="text1"/>
        </w:rPr>
        <w:t>m</w:t>
      </w:r>
      <w:r w:rsidRPr="00DA4525">
        <w:rPr>
          <w:rFonts w:eastAsiaTheme="minorEastAsia"/>
          <w:color w:val="000000" w:themeColor="text1"/>
        </w:rPr>
        <w:t xml:space="preserve"> </w:t>
      </w:r>
      <w:r>
        <w:rPr>
          <w:rFonts w:eastAsiaTheme="minorEastAsia"/>
          <w:color w:val="000000" w:themeColor="text1"/>
        </w:rPr>
        <w:t xml:space="preserve">within the </w:t>
      </w:r>
      <w:r w:rsidRPr="00DA4525">
        <w:rPr>
          <w:rFonts w:eastAsiaTheme="minorEastAsia"/>
          <w:color w:val="000000" w:themeColor="text1"/>
        </w:rPr>
        <w:t>emissions sensitivity</w:t>
      </w:r>
      <w:r>
        <w:rPr>
          <w:rFonts w:eastAsiaTheme="minorEastAsia"/>
          <w:color w:val="000000" w:themeColor="text1"/>
        </w:rPr>
        <w:t xml:space="preserve"> simulation for region </w:t>
      </w:r>
      <w:r w:rsidRPr="002E3F08">
        <w:rPr>
          <w:rFonts w:eastAsiaTheme="minorEastAsia"/>
          <w:i/>
          <w:color w:val="000000" w:themeColor="text1"/>
        </w:rPr>
        <w:t>r</w:t>
      </w:r>
      <w:r>
        <w:rPr>
          <w:rFonts w:eastAsiaTheme="minorEastAsia"/>
          <w:color w:val="000000" w:themeColor="text1"/>
        </w:rPr>
        <w:t xml:space="preserve">, </w:t>
      </w:r>
      <w:r w:rsidRPr="00DA4525">
        <w:rPr>
          <w:rFonts w:eastAsiaTheme="minorEastAsia"/>
          <w:color w:val="000000" w:themeColor="text1"/>
        </w:rPr>
        <w:t xml:space="preserve">and </w:t>
      </w:r>
      <w:r w:rsidRPr="002E3F08">
        <w:rPr>
          <w:rFonts w:eastAsiaTheme="minorEastAsia"/>
          <w:color w:val="000000" w:themeColor="text1"/>
          <w:position w:val="-14"/>
        </w:rPr>
        <w:object w:dxaOrig="660" w:dyaOrig="380" w14:anchorId="7924F9D9">
          <v:shape id="_x0000_i1030" type="#_x0000_t75" style="width:36.3pt;height:17.85pt" o:ole="">
            <v:imagedata r:id="rId18" o:title=""/>
          </v:shape>
          <o:OLEObject Type="Embed" ProgID="Equation.DSMT4" ShapeID="_x0000_i1030" DrawAspect="Content" ObjectID="_1546331785" r:id="rId19"/>
        </w:object>
      </w:r>
      <w:r w:rsidRPr="00DA4525">
        <w:rPr>
          <w:rFonts w:eastAsiaTheme="minorEastAsia"/>
          <w:color w:val="000000" w:themeColor="text1"/>
        </w:rPr>
        <w:t xml:space="preserve"> represents the total change in emissions (</w:t>
      </w:r>
      <w:r>
        <w:rPr>
          <w:rFonts w:eastAsiaTheme="minorEastAsia"/>
          <w:color w:val="000000" w:themeColor="text1"/>
        </w:rPr>
        <w:t xml:space="preserve">in short </w:t>
      </w:r>
      <w:r w:rsidRPr="00DA4525">
        <w:rPr>
          <w:rFonts w:eastAsiaTheme="minorEastAsia"/>
          <w:color w:val="000000" w:themeColor="text1"/>
        </w:rPr>
        <w:t xml:space="preserve">tons) between the unperturbed 2025 model simulation and </w:t>
      </w:r>
      <w:r>
        <w:rPr>
          <w:rFonts w:eastAsiaTheme="minorEastAsia"/>
          <w:color w:val="000000" w:themeColor="text1"/>
        </w:rPr>
        <w:t xml:space="preserve">the </w:t>
      </w:r>
      <w:r w:rsidRPr="00DA4525">
        <w:rPr>
          <w:rFonts w:eastAsiaTheme="minorEastAsia"/>
          <w:color w:val="000000" w:themeColor="text1"/>
        </w:rPr>
        <w:t>emissions sensitivity</w:t>
      </w:r>
      <w:r>
        <w:rPr>
          <w:rFonts w:eastAsiaTheme="minorEastAsia"/>
          <w:color w:val="000000" w:themeColor="text1"/>
        </w:rPr>
        <w:t xml:space="preserve"> simulation</w:t>
      </w:r>
      <w:r w:rsidRPr="00DA4525">
        <w:rPr>
          <w:rFonts w:eastAsiaTheme="minorEastAsia"/>
          <w:color w:val="000000" w:themeColor="text1"/>
        </w:rPr>
        <w:t xml:space="preserve">. </w:t>
      </w:r>
      <w:r>
        <w:rPr>
          <w:color w:val="000000" w:themeColor="text1"/>
        </w:rPr>
        <w:t xml:space="preserve">Note this approach enables us to estimate a transfer </w:t>
      </w:r>
      <w:r w:rsidRPr="00DA4525">
        <w:rPr>
          <w:color w:val="000000" w:themeColor="text1"/>
        </w:rPr>
        <w:t>coefficient relating</w:t>
      </w:r>
      <w:r>
        <w:rPr>
          <w:color w:val="000000" w:themeColor="text1"/>
        </w:rPr>
        <w:t xml:space="preserve"> emissions reductions in region</w:t>
      </w:r>
      <w:r w:rsidRPr="00DA4525">
        <w:rPr>
          <w:color w:val="000000" w:themeColor="text1"/>
        </w:rPr>
        <w:t xml:space="preserve"> </w:t>
      </w:r>
      <w:r w:rsidRPr="00EA06F9">
        <w:rPr>
          <w:i/>
          <w:color w:val="000000" w:themeColor="text1"/>
        </w:rPr>
        <w:t>r</w:t>
      </w:r>
      <w:r w:rsidRPr="00DA4525">
        <w:rPr>
          <w:color w:val="000000" w:themeColor="text1"/>
        </w:rPr>
        <w:t xml:space="preserve"> to changes in ozone concentrations at monitor</w:t>
      </w:r>
      <w:r>
        <w:rPr>
          <w:color w:val="000000" w:themeColor="text1"/>
        </w:rPr>
        <w:t xml:space="preserve"> </w:t>
      </w:r>
      <w:r w:rsidRPr="00A71A0F">
        <w:rPr>
          <w:i/>
          <w:color w:val="000000" w:themeColor="text1"/>
        </w:rPr>
        <w:t>m</w:t>
      </w:r>
      <w:r>
        <w:rPr>
          <w:color w:val="000000" w:themeColor="text1"/>
        </w:rPr>
        <w:t xml:space="preserve"> regardless of whether the monitor</w:t>
      </w:r>
      <w:r w:rsidRPr="00DA4525">
        <w:rPr>
          <w:color w:val="000000" w:themeColor="text1"/>
        </w:rPr>
        <w:t xml:space="preserve"> physically resides in </w:t>
      </w:r>
      <w:r>
        <w:rPr>
          <w:color w:val="000000" w:themeColor="text1"/>
        </w:rPr>
        <w:t xml:space="preserve">the </w:t>
      </w:r>
      <w:r w:rsidRPr="00DA4525">
        <w:rPr>
          <w:color w:val="000000" w:themeColor="text1"/>
        </w:rPr>
        <w:t xml:space="preserve">region. </w:t>
      </w:r>
    </w:p>
    <w:p w:rsidR="009C5CE8" w:rsidRDefault="009C5CE8" w:rsidP="009C5CE8">
      <w:pPr>
        <w:spacing w:line="360" w:lineRule="auto"/>
        <w:rPr>
          <w:rFonts w:eastAsiaTheme="minorEastAsia"/>
          <w:color w:val="000000" w:themeColor="text1"/>
        </w:rPr>
      </w:pPr>
      <w:r w:rsidRPr="00DA4525">
        <w:rPr>
          <w:rFonts w:eastAsiaTheme="minorEastAsia"/>
          <w:color w:val="000000" w:themeColor="text1"/>
        </w:rPr>
        <w:tab/>
        <w:t xml:space="preserve">Many of the emissions sensitivity regions </w:t>
      </w:r>
      <w:r>
        <w:rPr>
          <w:rFonts w:eastAsiaTheme="minorEastAsia"/>
          <w:color w:val="000000" w:themeColor="text1"/>
        </w:rPr>
        <w:t>shown</w:t>
      </w:r>
      <w:r w:rsidRPr="00DA4525">
        <w:rPr>
          <w:rFonts w:eastAsiaTheme="minorEastAsia"/>
          <w:color w:val="000000" w:themeColor="text1"/>
        </w:rPr>
        <w:t xml:space="preserve"> in </w:t>
      </w:r>
      <w:r>
        <w:rPr>
          <w:color w:val="000000" w:themeColor="text1"/>
        </w:rPr>
        <w:t xml:space="preserve">Table </w:t>
      </w:r>
      <w:r w:rsidR="00EC7626">
        <w:rPr>
          <w:color w:val="000000" w:themeColor="text1"/>
        </w:rPr>
        <w:t>S-1</w:t>
      </w:r>
      <w:r>
        <w:rPr>
          <w:rFonts w:eastAsiaTheme="minorEastAsia"/>
          <w:color w:val="000000" w:themeColor="text1"/>
        </w:rPr>
        <w:t xml:space="preserve"> span </w:t>
      </w:r>
      <w:r w:rsidRPr="00DA4525">
        <w:rPr>
          <w:rFonts w:eastAsiaTheme="minorEastAsia"/>
          <w:color w:val="000000" w:themeColor="text1"/>
        </w:rPr>
        <w:t xml:space="preserve">multiple states. </w:t>
      </w:r>
      <w:r>
        <w:rPr>
          <w:rFonts w:eastAsiaTheme="minorEastAsia"/>
          <w:color w:val="000000" w:themeColor="text1"/>
        </w:rPr>
        <w:t>To provide state-level transfer coefficients, w</w:t>
      </w:r>
      <w:r w:rsidRPr="00DA4525">
        <w:rPr>
          <w:rFonts w:eastAsiaTheme="minorEastAsia"/>
          <w:color w:val="000000" w:themeColor="text1"/>
        </w:rPr>
        <w:t xml:space="preserve">e leveraged additional existing </w:t>
      </w:r>
      <w:r>
        <w:rPr>
          <w:rFonts w:eastAsiaTheme="minorEastAsia"/>
          <w:color w:val="000000" w:themeColor="text1"/>
        </w:rPr>
        <w:t>air quality modeling</w:t>
      </w:r>
      <w:r w:rsidR="004C57A3">
        <w:rPr>
          <w:rFonts w:eastAsiaTheme="minorEastAsia"/>
          <w:color w:val="000000" w:themeColor="text1"/>
        </w:rPr>
        <w:t xml:space="preserve">. </w:t>
      </w:r>
      <w:hyperlink w:anchor="_ENREF_2_2" w:tooltip="U.S. EPA, 2015 #1196" w:history="1">
        <w:r w:rsidR="009F196C">
          <w:rPr>
            <w:rFonts w:eastAsiaTheme="minorEastAsia"/>
            <w:color w:val="000000" w:themeColor="text1"/>
          </w:rPr>
          <w:fldChar w:fldCharType="begin"/>
        </w:r>
        <w:r w:rsidR="009F196C">
          <w:rPr>
            <w:rFonts w:eastAsiaTheme="minorEastAsia"/>
            <w:color w:val="000000" w:themeColor="text1"/>
          </w:rPr>
          <w:instrText xml:space="preserve"> ADDIN EN.CITE &lt;EndNote&gt;&lt;Cite AuthorYear="1"&gt;&lt;Author&gt;U.S. EPA&lt;/Author&gt;&lt;Year&gt;2015&lt;/Year&gt;&lt;RecNum&gt;1196&lt;/RecNum&gt;&lt;DisplayText&gt;U.S. EPA (2015a)&lt;/DisplayText&gt;&lt;record&gt;&lt;rec-number&gt;1196&lt;/rec-number&gt;&lt;foreign-keys&gt;&lt;key app="EN" db-id="dp2r5xtw9xfdfzevrr152tsaeadpxz2wptwr" timestamp="1460385193"&gt;1196&lt;/key&gt;&lt;/foreign-keys&gt;&lt;ref-type name="Government Document"&gt;46&lt;/ref-type&gt;&lt;contributors&gt;&lt;authors&gt;&lt;author&gt;U.S. EPA,&lt;/author&gt;&lt;/authors&gt;&lt;secondary-authors&gt;&lt;author&gt;Office of Air Quality Planning and Standards,&lt;/author&gt;&lt;/secondary-authors&gt;&lt;/contributors&gt;&lt;titles&gt;&lt;title&gt;Memorandum from Stephen D. Page to Regional Air Division Directors, Regions 1-10: Information on the Interstate Transport “Good Neighbor” Provision for the 2008 Ozone National Ambient Air Quality Standards (NAAQS) under Clean Air Act Section 110(a)(2)(D)(i)(I), Air Quality Modeling Technical Support Document, January 22, 2015&lt;/title&gt;&lt;/titles&gt;&lt;dates&gt;&lt;year&gt;2015&lt;/year&gt;&lt;/dates&gt;&lt;pub-location&gt;Research Triangle Park, NC&lt;/pub-location&gt;&lt;urls&gt;&lt;/urls&gt;&lt;/record&gt;&lt;/Cite&gt;&lt;/EndNote&gt;</w:instrText>
        </w:r>
        <w:r w:rsidR="009F196C">
          <w:rPr>
            <w:rFonts w:eastAsiaTheme="minorEastAsia"/>
            <w:color w:val="000000" w:themeColor="text1"/>
          </w:rPr>
          <w:fldChar w:fldCharType="separate"/>
        </w:r>
        <w:r w:rsidR="009F196C">
          <w:rPr>
            <w:rFonts w:eastAsiaTheme="minorEastAsia"/>
            <w:noProof/>
            <w:color w:val="000000" w:themeColor="text1"/>
          </w:rPr>
          <w:t>U.S. EPA (2015a)</w:t>
        </w:r>
        <w:r w:rsidR="009F196C">
          <w:rPr>
            <w:rFonts w:eastAsiaTheme="minorEastAsia"/>
            <w:color w:val="000000" w:themeColor="text1"/>
          </w:rPr>
          <w:fldChar w:fldCharType="end"/>
        </w:r>
      </w:hyperlink>
      <w:r w:rsidRPr="004C57A3">
        <w:rPr>
          <w:rFonts w:eastAsiaTheme="minorEastAsia"/>
          <w:color w:val="000000" w:themeColor="text1"/>
        </w:rPr>
        <w:t xml:space="preserve"> describes</w:t>
      </w:r>
      <w:r w:rsidRPr="00DA4525">
        <w:rPr>
          <w:rFonts w:eastAsiaTheme="minorEastAsia"/>
          <w:color w:val="000000" w:themeColor="text1"/>
        </w:rPr>
        <w:t xml:space="preserve"> source apportionment modeling</w:t>
      </w:r>
      <w:r>
        <w:rPr>
          <w:rStyle w:val="FootnoteReference"/>
          <w:rFonts w:eastAsiaTheme="minorEastAsia"/>
          <w:color w:val="000000" w:themeColor="text1"/>
        </w:rPr>
        <w:footnoteReference w:id="2"/>
      </w:r>
      <w:r w:rsidRPr="00DA4525">
        <w:rPr>
          <w:rFonts w:eastAsiaTheme="minorEastAsia"/>
          <w:color w:val="000000" w:themeColor="text1"/>
        </w:rPr>
        <w:t xml:space="preserve"> </w:t>
      </w:r>
      <w:r>
        <w:rPr>
          <w:rFonts w:eastAsiaTheme="minorEastAsia"/>
          <w:color w:val="000000" w:themeColor="text1"/>
        </w:rPr>
        <w:t xml:space="preserve">that </w:t>
      </w:r>
      <w:r w:rsidRPr="00DA4525">
        <w:rPr>
          <w:rFonts w:eastAsiaTheme="minorEastAsia"/>
          <w:color w:val="000000" w:themeColor="text1"/>
        </w:rPr>
        <w:t>us</w:t>
      </w:r>
      <w:r>
        <w:rPr>
          <w:rFonts w:eastAsiaTheme="minorEastAsia"/>
          <w:color w:val="000000" w:themeColor="text1"/>
        </w:rPr>
        <w:t>ed</w:t>
      </w:r>
      <w:r w:rsidRPr="00DA4525">
        <w:rPr>
          <w:rFonts w:eastAsiaTheme="minorEastAsia"/>
          <w:color w:val="000000" w:themeColor="text1"/>
        </w:rPr>
        <w:t xml:space="preserve"> the same 2011 CAM</w:t>
      </w:r>
      <w:r>
        <w:rPr>
          <w:rFonts w:eastAsiaTheme="minorEastAsia"/>
          <w:color w:val="000000" w:themeColor="text1"/>
        </w:rPr>
        <w:t xml:space="preserve">x modeling platform </w:t>
      </w:r>
      <w:r w:rsidRPr="00DA4525">
        <w:rPr>
          <w:rFonts w:eastAsiaTheme="minorEastAsia"/>
          <w:color w:val="000000" w:themeColor="text1"/>
        </w:rPr>
        <w:t xml:space="preserve">used in </w:t>
      </w:r>
      <w:hyperlink w:anchor="_ENREF_2_3" w:tooltip="U.S. EPA, 2015 #1144" w:history="1">
        <w:r w:rsidR="009F196C">
          <w:rPr>
            <w:rFonts w:eastAsiaTheme="minorEastAsia"/>
            <w:color w:val="000000" w:themeColor="text1"/>
          </w:rPr>
          <w:fldChar w:fldCharType="begin"/>
        </w:r>
        <w:r w:rsidR="009F196C">
          <w:rPr>
            <w:rFonts w:eastAsiaTheme="minorEastAsia"/>
            <w:color w:val="000000" w:themeColor="text1"/>
          </w:rPr>
          <w:instrText xml:space="preserve"> ADDIN EN.CITE &lt;EndNote&gt;&lt;Cite AuthorYear="1"&gt;&lt;Author&gt;U.S. EPA&lt;/Author&gt;&lt;Year&gt;2015&lt;/Year&gt;&lt;RecNum&gt;1144&lt;/RecNum&gt;&lt;DisplayText&gt;U.S. EPA (2015b)&lt;/DisplayText&gt;&lt;record&gt;&lt;rec-number&gt;1144&lt;/rec-number&gt;&lt;foreign-keys&gt;&lt;key app="EN" db-id="dp2r5xtw9xfdfzevrr152tsaeadpxz2wptwr" timestamp="1447358626"&gt;1144&lt;/key&gt;&lt;/foreign-keys&gt;&lt;ref-type name="Government Document"&gt;46&lt;/ref-type&gt;&lt;contributors&gt;&lt;authors&gt;&lt;author&gt;U.S. EPA,&lt;/author&gt;&lt;/authors&gt;&lt;/contributors&gt;&lt;titles&gt;&lt;title&gt;Regulatory Impact Analysis of the Final Revisions to the National Ambient Air Quality Standards for Ground-Level Ozone&lt;/title&gt;&lt;/titles&gt;&lt;dates&gt;&lt;year&gt;2015&lt;/year&gt;&lt;/dates&gt;&lt;pub-location&gt;Research Triangle Park, NC&lt;/pub-location&gt;&lt;publisher&gt;Office of Air Quality Planning and Standards&lt;/publisher&gt;&lt;urls&gt;&lt;related-urls&gt;&lt;url&gt;http://www.epa.gov/airquality/ozonepollution/pdfs/20141125ria.pdf&lt;/url&gt;&lt;/related-urls&gt;&lt;/urls&gt;&lt;access-date&gt;11/2015&lt;/access-date&gt;&lt;/record&gt;&lt;/Cite&gt;&lt;/EndNote&gt;</w:instrText>
        </w:r>
        <w:r w:rsidR="009F196C">
          <w:rPr>
            <w:rFonts w:eastAsiaTheme="minorEastAsia"/>
            <w:color w:val="000000" w:themeColor="text1"/>
          </w:rPr>
          <w:fldChar w:fldCharType="separate"/>
        </w:r>
        <w:r w:rsidR="009F196C">
          <w:rPr>
            <w:rFonts w:eastAsiaTheme="minorEastAsia"/>
            <w:noProof/>
            <w:color w:val="000000" w:themeColor="text1"/>
          </w:rPr>
          <w:t>U.S. EPA (2015b)</w:t>
        </w:r>
        <w:r w:rsidR="009F196C">
          <w:rPr>
            <w:rFonts w:eastAsiaTheme="minorEastAsia"/>
            <w:color w:val="000000" w:themeColor="text1"/>
          </w:rPr>
          <w:fldChar w:fldCharType="end"/>
        </w:r>
      </w:hyperlink>
      <w:r>
        <w:rPr>
          <w:rFonts w:eastAsiaTheme="minorEastAsia"/>
          <w:color w:val="000000" w:themeColor="text1"/>
        </w:rPr>
        <w:t>,</w:t>
      </w:r>
      <w:r w:rsidRPr="00DA4525">
        <w:rPr>
          <w:rFonts w:eastAsiaTheme="minorEastAsia"/>
          <w:color w:val="000000" w:themeColor="text1"/>
        </w:rPr>
        <w:t xml:space="preserve"> but w</w:t>
      </w:r>
      <w:r>
        <w:rPr>
          <w:rFonts w:eastAsiaTheme="minorEastAsia"/>
          <w:color w:val="000000" w:themeColor="text1"/>
        </w:rPr>
        <w:t xml:space="preserve">ith design values projected </w:t>
      </w:r>
      <w:r w:rsidRPr="00DA4525">
        <w:rPr>
          <w:rFonts w:eastAsiaTheme="minorEastAsia"/>
          <w:color w:val="000000" w:themeColor="text1"/>
        </w:rPr>
        <w:t xml:space="preserve">to 2018. That modeling tracked emissions from each state to estimate state-level contributions to ozone </w:t>
      </w:r>
      <w:r>
        <w:rPr>
          <w:rFonts w:eastAsiaTheme="minorEastAsia"/>
          <w:color w:val="000000" w:themeColor="text1"/>
        </w:rPr>
        <w:t>concentrations</w:t>
      </w:r>
      <w:r w:rsidRPr="00DA4525">
        <w:rPr>
          <w:rFonts w:eastAsiaTheme="minorEastAsia"/>
          <w:color w:val="000000" w:themeColor="text1"/>
        </w:rPr>
        <w:t xml:space="preserve"> at each monitor. In </w:t>
      </w:r>
      <w:r>
        <w:rPr>
          <w:rFonts w:eastAsiaTheme="minorEastAsia"/>
          <w:color w:val="000000" w:themeColor="text1"/>
        </w:rPr>
        <w:t xml:space="preserve">the </w:t>
      </w:r>
      <w:r w:rsidRPr="00DA4525">
        <w:rPr>
          <w:rFonts w:eastAsiaTheme="minorEastAsia"/>
          <w:color w:val="000000" w:themeColor="text1"/>
        </w:rPr>
        <w:t>emissions sensitivity regions covering multiple states, we used the source apportionment modeling to determine the relative contribution f</w:t>
      </w:r>
      <w:r>
        <w:rPr>
          <w:rFonts w:eastAsiaTheme="minorEastAsia"/>
          <w:color w:val="000000" w:themeColor="text1"/>
        </w:rPr>
        <w:t>rom each state within a region</w:t>
      </w:r>
      <w:r w:rsidRPr="00DA4525">
        <w:rPr>
          <w:rFonts w:eastAsiaTheme="minorEastAsia"/>
          <w:color w:val="000000" w:themeColor="text1"/>
        </w:rPr>
        <w:t xml:space="preserve"> compared to the total regional</w:t>
      </w:r>
      <w:r>
        <w:rPr>
          <w:rFonts w:eastAsiaTheme="minorEastAsia"/>
          <w:color w:val="000000" w:themeColor="text1"/>
        </w:rPr>
        <w:t xml:space="preserve"> contribution at all monitors</w:t>
      </w:r>
      <w:r w:rsidRPr="00DA4525">
        <w:rPr>
          <w:rFonts w:eastAsiaTheme="minorEastAsia"/>
          <w:color w:val="000000" w:themeColor="text1"/>
        </w:rPr>
        <w:t xml:space="preserve">. </w:t>
      </w:r>
      <w:r>
        <w:rPr>
          <w:rFonts w:eastAsiaTheme="minorEastAsia"/>
          <w:color w:val="000000" w:themeColor="text1"/>
        </w:rPr>
        <w:t>We then applied E</w:t>
      </w:r>
      <w:r w:rsidRPr="00DA4525">
        <w:rPr>
          <w:rFonts w:eastAsiaTheme="minorEastAsia"/>
          <w:color w:val="000000" w:themeColor="text1"/>
        </w:rPr>
        <w:t xml:space="preserve">quation </w:t>
      </w:r>
      <w:r>
        <w:rPr>
          <w:rFonts w:eastAsiaTheme="minorEastAsia"/>
          <w:color w:val="000000" w:themeColor="text1"/>
        </w:rPr>
        <w:t>(</w:t>
      </w:r>
      <w:r w:rsidR="00EC7626">
        <w:rPr>
          <w:rFonts w:eastAsiaTheme="minorEastAsia"/>
          <w:color w:val="000000" w:themeColor="text1"/>
        </w:rPr>
        <w:t>S-2</w:t>
      </w:r>
      <w:r>
        <w:rPr>
          <w:rFonts w:eastAsiaTheme="minorEastAsia"/>
          <w:color w:val="000000" w:themeColor="text1"/>
        </w:rPr>
        <w:t>)</w:t>
      </w:r>
      <w:r w:rsidRPr="00DA4525">
        <w:rPr>
          <w:rFonts w:eastAsiaTheme="minorEastAsia"/>
          <w:color w:val="000000" w:themeColor="text1"/>
        </w:rPr>
        <w:t xml:space="preserve"> to </w:t>
      </w:r>
      <w:r>
        <w:rPr>
          <w:rFonts w:eastAsiaTheme="minorEastAsia"/>
          <w:color w:val="000000" w:themeColor="text1"/>
        </w:rPr>
        <w:t>estimate</w:t>
      </w:r>
      <w:r w:rsidRPr="00DA4525">
        <w:rPr>
          <w:rFonts w:eastAsiaTheme="minorEastAsia"/>
          <w:color w:val="000000" w:themeColor="text1"/>
        </w:rPr>
        <w:t xml:space="preserve"> state-level </w:t>
      </w:r>
      <w:r>
        <w:rPr>
          <w:rFonts w:eastAsiaTheme="minorEastAsia"/>
          <w:color w:val="000000" w:themeColor="text1"/>
        </w:rPr>
        <w:t>transfer coefficients:</w:t>
      </w:r>
    </w:p>
    <w:p w:rsidR="009C5CE8" w:rsidRPr="00DA4525" w:rsidRDefault="009C5CE8" w:rsidP="009C5CE8">
      <w:pPr>
        <w:pStyle w:val="MTDisplayEquation"/>
        <w:spacing w:line="360" w:lineRule="auto"/>
      </w:pPr>
      <w:r>
        <w:tab/>
      </w:r>
      <w:r>
        <w:tab/>
      </w:r>
      <w:r w:rsidRPr="00B503B1">
        <w:rPr>
          <w:position w:val="-32"/>
        </w:rPr>
        <w:object w:dxaOrig="3320" w:dyaOrig="1140" w14:anchorId="1A91E056">
          <v:shape id="_x0000_i1031" type="#_x0000_t75" style="width:168.2pt;height:59.9pt" o:ole="">
            <v:imagedata r:id="rId20" o:title=""/>
          </v:shape>
          <o:OLEObject Type="Embed" ProgID="Equation.DSMT4" ShapeID="_x0000_i1031" DrawAspect="Content" ObjectID="_1546331786" r:id="rId21"/>
        </w:object>
      </w:r>
      <w:r>
        <w:t xml:space="preserve"> .</w:t>
      </w:r>
      <w:r>
        <w:tab/>
      </w:r>
      <w:r w:rsidR="000D42E3">
        <w:rPr>
          <w:b w:val="0"/>
        </w:rPr>
        <w:t>(S-2</w:t>
      </w:r>
      <w:r w:rsidR="000D42E3" w:rsidRPr="000D42E3">
        <w:rPr>
          <w:b w:val="0"/>
        </w:rPr>
        <w:t>)</w:t>
      </w:r>
    </w:p>
    <w:p w:rsidR="009C5CE8" w:rsidRDefault="009C5CE8" w:rsidP="00CC6F07">
      <w:pPr>
        <w:spacing w:line="360" w:lineRule="auto"/>
        <w:ind w:firstLine="720"/>
        <w:rPr>
          <w:rFonts w:eastAsiaTheme="minorEastAsia"/>
          <w:color w:val="000000" w:themeColor="text1"/>
        </w:rPr>
      </w:pPr>
      <w:r w:rsidRPr="00DA4525">
        <w:rPr>
          <w:rFonts w:eastAsiaTheme="minorEastAsia"/>
          <w:color w:val="000000" w:themeColor="text1"/>
        </w:rPr>
        <w:t xml:space="preserve">Here, </w:t>
      </w:r>
      <w:r w:rsidRPr="00666F03">
        <w:rPr>
          <w:rFonts w:eastAsiaTheme="minorEastAsia"/>
          <w:color w:val="000000" w:themeColor="text1"/>
          <w:position w:val="-14"/>
        </w:rPr>
        <w:object w:dxaOrig="660" w:dyaOrig="380" w14:anchorId="6958094C">
          <v:shape id="_x0000_i1032" type="#_x0000_t75" style="width:36.3pt;height:17.85pt" o:ole="">
            <v:imagedata r:id="rId22" o:title=""/>
          </v:shape>
          <o:OLEObject Type="Embed" ProgID="Equation.DSMT4" ShapeID="_x0000_i1032" DrawAspect="Content" ObjectID="_1546331787" r:id="rId23"/>
        </w:object>
      </w:r>
      <w:r w:rsidRPr="00DA4525">
        <w:rPr>
          <w:rFonts w:eastAsiaTheme="minorEastAsia"/>
          <w:color w:val="000000" w:themeColor="text1"/>
        </w:rPr>
        <w:t>is the state-level ozone cont</w:t>
      </w:r>
      <w:r>
        <w:rPr>
          <w:rFonts w:eastAsiaTheme="minorEastAsia"/>
          <w:color w:val="000000" w:themeColor="text1"/>
        </w:rPr>
        <w:t>ribution based on the source-apportionment modeling,</w:t>
      </w:r>
      <w:r w:rsidRPr="00DA4525">
        <w:rPr>
          <w:rFonts w:eastAsiaTheme="minorEastAsia"/>
          <w:color w:val="000000" w:themeColor="text1"/>
        </w:rPr>
        <w:t xml:space="preserve"> </w:t>
      </w:r>
      <w:r w:rsidRPr="00666F03">
        <w:rPr>
          <w:rFonts w:eastAsiaTheme="minorEastAsia"/>
          <w:color w:val="000000" w:themeColor="text1"/>
          <w:position w:val="-14"/>
        </w:rPr>
        <w:object w:dxaOrig="620" w:dyaOrig="380" w14:anchorId="7169A271">
          <v:shape id="_x0000_i1033" type="#_x0000_t75" style="width:29.95pt;height:17.85pt" o:ole="">
            <v:imagedata r:id="rId24" o:title=""/>
          </v:shape>
          <o:OLEObject Type="Embed" ProgID="Equation.DSMT4" ShapeID="_x0000_i1033" DrawAspect="Content" ObjectID="_1546331788" r:id="rId25"/>
        </w:object>
      </w:r>
      <w:r w:rsidRPr="00DA4525">
        <w:rPr>
          <w:rFonts w:eastAsiaTheme="minorEastAsia"/>
          <w:color w:val="000000" w:themeColor="text1"/>
        </w:rPr>
        <w:t>is the total regional ozone co</w:t>
      </w:r>
      <w:r>
        <w:rPr>
          <w:rFonts w:eastAsiaTheme="minorEastAsia"/>
          <w:color w:val="000000" w:themeColor="text1"/>
        </w:rPr>
        <w:t xml:space="preserve">ntribution </w:t>
      </w:r>
      <w:r w:rsidRPr="00E246DA">
        <w:rPr>
          <w:rFonts w:eastAsiaTheme="minorEastAsia"/>
          <w:color w:val="000000" w:themeColor="text1"/>
        </w:rPr>
        <w:t>based on the source-apportionment</w:t>
      </w:r>
      <w:r>
        <w:rPr>
          <w:rFonts w:eastAsiaTheme="minorEastAsia"/>
          <w:color w:val="000000" w:themeColor="text1"/>
        </w:rPr>
        <w:t xml:space="preserve"> modeling,</w:t>
      </w:r>
      <w:r w:rsidRPr="00DA4525">
        <w:rPr>
          <w:rFonts w:eastAsiaTheme="minorEastAsia"/>
          <w:color w:val="000000" w:themeColor="text1"/>
        </w:rPr>
        <w:t xml:space="preserve"> and </w:t>
      </w:r>
      <w:r w:rsidRPr="00666F03">
        <w:rPr>
          <w:rFonts w:eastAsiaTheme="minorEastAsia"/>
          <w:color w:val="000000" w:themeColor="text1"/>
          <w:position w:val="-14"/>
        </w:rPr>
        <w:object w:dxaOrig="700" w:dyaOrig="380" w14:anchorId="7C89B039">
          <v:shape id="_x0000_i1034" type="#_x0000_t75" style="width:36.3pt;height:17.85pt" o:ole="">
            <v:imagedata r:id="rId26" o:title=""/>
          </v:shape>
          <o:OLEObject Type="Embed" ProgID="Equation.DSMT4" ShapeID="_x0000_i1034" DrawAspect="Content" ObjectID="_1546331789" r:id="rId27"/>
        </w:object>
      </w:r>
      <w:r w:rsidRPr="00DA4525">
        <w:rPr>
          <w:rFonts w:eastAsiaTheme="minorEastAsia"/>
          <w:color w:val="000000" w:themeColor="text1"/>
        </w:rPr>
        <w:t xml:space="preserve">is the total change in emissions from </w:t>
      </w:r>
      <w:r>
        <w:rPr>
          <w:rFonts w:eastAsiaTheme="minorEastAsia"/>
          <w:color w:val="000000" w:themeColor="text1"/>
        </w:rPr>
        <w:t xml:space="preserve">the </w:t>
      </w:r>
      <w:r w:rsidRPr="00DA4525">
        <w:rPr>
          <w:rFonts w:eastAsiaTheme="minorEastAsia"/>
          <w:color w:val="000000" w:themeColor="text1"/>
        </w:rPr>
        <w:t xml:space="preserve">state between the unperturbed </w:t>
      </w:r>
      <w:r w:rsidRPr="00DA4525">
        <w:rPr>
          <w:rFonts w:eastAsiaTheme="minorEastAsia"/>
          <w:color w:val="000000" w:themeColor="text1"/>
        </w:rPr>
        <w:lastRenderedPageBreak/>
        <w:t xml:space="preserve">2025 model simulation and </w:t>
      </w:r>
      <w:r>
        <w:rPr>
          <w:rFonts w:eastAsiaTheme="minorEastAsia"/>
          <w:color w:val="000000" w:themeColor="text1"/>
        </w:rPr>
        <w:t xml:space="preserve">the </w:t>
      </w:r>
      <w:r w:rsidR="00FA2614">
        <w:rPr>
          <w:rFonts w:eastAsiaTheme="minorEastAsia"/>
          <w:color w:val="000000" w:themeColor="text1"/>
        </w:rPr>
        <w:t>emissions se</w:t>
      </w:r>
      <w:r w:rsidRPr="00DA4525">
        <w:rPr>
          <w:rFonts w:eastAsiaTheme="minorEastAsia"/>
          <w:color w:val="000000" w:themeColor="text1"/>
        </w:rPr>
        <w:t>nsitivity</w:t>
      </w:r>
      <w:r>
        <w:rPr>
          <w:rFonts w:eastAsiaTheme="minorEastAsia"/>
          <w:color w:val="000000" w:themeColor="text1"/>
        </w:rPr>
        <w:t xml:space="preserve"> simulation</w:t>
      </w:r>
      <w:r w:rsidRPr="00DA4525">
        <w:rPr>
          <w:rFonts w:eastAsiaTheme="minorEastAsia"/>
          <w:color w:val="000000" w:themeColor="text1"/>
        </w:rPr>
        <w:t>.</w:t>
      </w:r>
      <w:r>
        <w:rPr>
          <w:rStyle w:val="FootnoteReference"/>
          <w:rFonts w:eastAsiaTheme="minorEastAsia"/>
          <w:color w:val="000000" w:themeColor="text1"/>
        </w:rPr>
        <w:footnoteReference w:id="3"/>
      </w:r>
      <w:r w:rsidR="00CC6F07">
        <w:rPr>
          <w:rFonts w:eastAsiaTheme="minorEastAsia"/>
          <w:color w:val="000000" w:themeColor="text1"/>
        </w:rPr>
        <w:t xml:space="preserve"> </w:t>
      </w:r>
      <w:r>
        <w:rPr>
          <w:rFonts w:eastAsiaTheme="minorEastAsia"/>
          <w:color w:val="000000" w:themeColor="text1"/>
        </w:rPr>
        <w:t>The results from applying Equations (</w:t>
      </w:r>
      <w:r w:rsidR="00EC7626">
        <w:rPr>
          <w:rFonts w:eastAsiaTheme="minorEastAsia"/>
          <w:color w:val="000000" w:themeColor="text1"/>
        </w:rPr>
        <w:t>S-1</w:t>
      </w:r>
      <w:r>
        <w:rPr>
          <w:rFonts w:eastAsiaTheme="minorEastAsia"/>
          <w:color w:val="000000" w:themeColor="text1"/>
        </w:rPr>
        <w:t>) and (</w:t>
      </w:r>
      <w:r w:rsidR="00EC7626">
        <w:rPr>
          <w:rFonts w:eastAsiaTheme="minorEastAsia"/>
          <w:color w:val="000000" w:themeColor="text1"/>
        </w:rPr>
        <w:t>S-2</w:t>
      </w:r>
      <w:r>
        <w:rPr>
          <w:rFonts w:eastAsiaTheme="minorEastAsia"/>
          <w:color w:val="000000" w:themeColor="text1"/>
        </w:rPr>
        <w:t>) were meshed to yield the final set of transfer coefficients by region and by monitor.</w:t>
      </w:r>
    </w:p>
    <w:p w:rsidR="009C5CE8" w:rsidRDefault="009C5CE8" w:rsidP="00CC6F07">
      <w:pPr>
        <w:spacing w:line="360" w:lineRule="auto"/>
        <w:ind w:firstLine="720"/>
        <w:rPr>
          <w:color w:val="000000" w:themeColor="text1"/>
        </w:rPr>
      </w:pPr>
      <w:r>
        <w:rPr>
          <w:color w:val="000000" w:themeColor="text1"/>
        </w:rPr>
        <w:t xml:space="preserve">In Section 2.4 </w:t>
      </w:r>
      <w:r w:rsidR="00CC6F07">
        <w:rPr>
          <w:color w:val="000000" w:themeColor="text1"/>
        </w:rPr>
        <w:t>of the</w:t>
      </w:r>
      <w:r w:rsidR="00EC7626">
        <w:rPr>
          <w:color w:val="000000" w:themeColor="text1"/>
        </w:rPr>
        <w:t xml:space="preserve"> manuscript</w:t>
      </w:r>
      <w:r w:rsidR="00FA2614">
        <w:rPr>
          <w:color w:val="000000" w:themeColor="text1"/>
        </w:rPr>
        <w:t>,</w:t>
      </w:r>
      <w:r w:rsidR="00EC7626">
        <w:rPr>
          <w:color w:val="000000" w:themeColor="text1"/>
        </w:rPr>
        <w:t xml:space="preserve"> </w:t>
      </w:r>
      <w:r>
        <w:rPr>
          <w:color w:val="000000" w:themeColor="text1"/>
        </w:rPr>
        <w:t>we discuss how in the optimization context we propose to linearize</w:t>
      </w:r>
      <w:r w:rsidRPr="00DA4525">
        <w:rPr>
          <w:color w:val="000000" w:themeColor="text1"/>
        </w:rPr>
        <w:t xml:space="preserve"> the response of ozone </w:t>
      </w:r>
      <w:r>
        <w:rPr>
          <w:color w:val="000000" w:themeColor="text1"/>
        </w:rPr>
        <w:t>concentrations</w:t>
      </w:r>
      <w:r w:rsidRPr="00DA4525">
        <w:rPr>
          <w:color w:val="000000" w:themeColor="text1"/>
        </w:rPr>
        <w:t xml:space="preserve"> to emissions reductions </w:t>
      </w:r>
      <w:r>
        <w:rPr>
          <w:color w:val="000000" w:themeColor="text1"/>
        </w:rPr>
        <w:t xml:space="preserve">in regions where large emissions reductions might be needed to attain </w:t>
      </w:r>
      <w:r w:rsidR="00793497">
        <w:rPr>
          <w:color w:val="000000" w:themeColor="text1"/>
        </w:rPr>
        <w:t>analyzed ozone goals</w:t>
      </w:r>
      <w:r>
        <w:rPr>
          <w:color w:val="000000" w:themeColor="text1"/>
        </w:rPr>
        <w:t>. Here we develop</w:t>
      </w:r>
      <w:r w:rsidRPr="00DA4525">
        <w:rPr>
          <w:color w:val="000000" w:themeColor="text1"/>
        </w:rPr>
        <w:t xml:space="preserve"> multiple coefficients or “impact steps” that depend upon the amount of abatement already obtained</w:t>
      </w:r>
      <w:r>
        <w:rPr>
          <w:color w:val="000000" w:themeColor="text1"/>
        </w:rPr>
        <w:t xml:space="preserve"> within the California and the Northeast regions</w:t>
      </w:r>
      <w:r w:rsidRPr="00DA4525">
        <w:rPr>
          <w:color w:val="000000" w:themeColor="text1"/>
        </w:rPr>
        <w:t>. In Northern and Southern California</w:t>
      </w:r>
      <w:r>
        <w:rPr>
          <w:color w:val="000000" w:themeColor="text1"/>
        </w:rPr>
        <w:t>,</w:t>
      </w:r>
      <w:r w:rsidRPr="00DA4525">
        <w:rPr>
          <w:color w:val="000000" w:themeColor="text1"/>
        </w:rPr>
        <w:t xml:space="preserve"> three sets of emission</w:t>
      </w:r>
      <w:r>
        <w:rPr>
          <w:color w:val="000000" w:themeColor="text1"/>
        </w:rPr>
        <w:t>s</w:t>
      </w:r>
      <w:r w:rsidRPr="00DA4525">
        <w:rPr>
          <w:color w:val="000000" w:themeColor="text1"/>
        </w:rPr>
        <w:t xml:space="preserve"> perturbations were modeled</w:t>
      </w:r>
      <w:r>
        <w:rPr>
          <w:color w:val="000000" w:themeColor="text1"/>
        </w:rPr>
        <w:t>,</w:t>
      </w:r>
      <w:r w:rsidRPr="00DA4525">
        <w:rPr>
          <w:color w:val="000000" w:themeColor="text1"/>
        </w:rPr>
        <w:t xml:space="preserve"> as shown in</w:t>
      </w:r>
      <w:r>
        <w:rPr>
          <w:color w:val="000000" w:themeColor="text1"/>
        </w:rPr>
        <w:t xml:space="preserve"> Table </w:t>
      </w:r>
      <w:r w:rsidR="00EC7626">
        <w:rPr>
          <w:color w:val="000000" w:themeColor="text1"/>
        </w:rPr>
        <w:t>S-1</w:t>
      </w:r>
      <w:r w:rsidRPr="00DA4525">
        <w:rPr>
          <w:color w:val="000000" w:themeColor="text1"/>
        </w:rPr>
        <w:t xml:space="preserve">. </w:t>
      </w:r>
      <w:r>
        <w:rPr>
          <w:color w:val="000000" w:themeColor="text1"/>
        </w:rPr>
        <w:t>For the Northeast region, a</w:t>
      </w:r>
      <w:r w:rsidRPr="00DA4525">
        <w:rPr>
          <w:color w:val="000000" w:themeColor="text1"/>
        </w:rPr>
        <w:t xml:space="preserve"> similar </w:t>
      </w:r>
      <w:r>
        <w:rPr>
          <w:color w:val="000000" w:themeColor="text1"/>
        </w:rPr>
        <w:t>approach</w:t>
      </w:r>
      <w:r w:rsidRPr="00DA4525">
        <w:rPr>
          <w:color w:val="000000" w:themeColor="text1"/>
        </w:rPr>
        <w:t xml:space="preserve"> was followed </w:t>
      </w:r>
      <w:r>
        <w:rPr>
          <w:color w:val="000000" w:themeColor="text1"/>
        </w:rPr>
        <w:t>-- p</w:t>
      </w:r>
      <w:r w:rsidRPr="00DA4525">
        <w:rPr>
          <w:color w:val="000000" w:themeColor="text1"/>
        </w:rPr>
        <w:t>revious modeling</w:t>
      </w:r>
      <w:r>
        <w:rPr>
          <w:color w:val="000000" w:themeColor="text1"/>
        </w:rPr>
        <w:t xml:space="preserve"> s</w:t>
      </w:r>
      <w:r w:rsidRPr="00DA4525">
        <w:rPr>
          <w:color w:val="000000" w:themeColor="text1"/>
        </w:rPr>
        <w:t>imulated multiple levels of emissions perturbations over a larger Northeast region than is used here</w:t>
      </w:r>
      <w:r>
        <w:rPr>
          <w:color w:val="000000" w:themeColor="text1"/>
        </w:rPr>
        <w:t xml:space="preserve"> </w:t>
      </w:r>
      <w:r>
        <w:rPr>
          <w:color w:val="000000" w:themeColor="text1"/>
        </w:rPr>
        <w:fldChar w:fldCharType="begin"/>
      </w:r>
      <w:r w:rsidR="00B72B94">
        <w:rPr>
          <w:color w:val="000000" w:themeColor="text1"/>
        </w:rPr>
        <w:instrText xml:space="preserve"> ADDIN EN.CITE &lt;EndNote&gt;&lt;Cite&gt;&lt;Author&gt;U.S. EPA&lt;/Author&gt;&lt;Year&gt;2014&lt;/Year&gt;&lt;RecNum&gt;1128&lt;/RecNum&gt;&lt;DisplayText&gt;(U.S. EPA, 2014)&lt;/DisplayText&gt;&lt;record&gt;&lt;rec-number&gt;1128&lt;/rec-number&gt;&lt;foreign-keys&gt;&lt;key app="EN" db-id="dp2r5xtw9xfdfzevrr152tsaeadpxz2wptwr" timestamp="1417447403"&gt;1128&lt;/key&gt;&lt;/foreign-keys&gt;&lt;ref-type name="Government Document"&gt;46&lt;/ref-type&gt;&lt;contributors&gt;&lt;authors&gt;&lt;author&gt;U.S. EPA,&lt;/author&gt;&lt;/authors&gt;&lt;/contributors&gt;&lt;titles&gt;&lt;title&gt;Regulatory Impact Analysis of the Proposed Revisions to the National Ambient Air Quality Standards for Ground-Level Ozone&lt;/title&gt;&lt;/titles&gt;&lt;dates&gt;&lt;year&gt;2014&lt;/year&gt;&lt;/dates&gt;&lt;publisher&gt;Office of Air Quality Planning and Standards&lt;/publisher&gt;&lt;urls&gt;&lt;related-urls&gt;&lt;url&gt;http://www.epa.gov/airquality/ozonepollution/pdfs/20141125ria.pdf&lt;/url&gt;&lt;/related-urls&gt;&lt;/urls&gt;&lt;access-date&gt;12/2014&lt;/access-date&gt;&lt;/record&gt;&lt;/Cite&gt;&lt;/EndNote&gt;</w:instrText>
      </w:r>
      <w:r>
        <w:rPr>
          <w:color w:val="000000" w:themeColor="text1"/>
        </w:rPr>
        <w:fldChar w:fldCharType="separate"/>
      </w:r>
      <w:r w:rsidR="00B72B94">
        <w:rPr>
          <w:noProof/>
          <w:color w:val="000000" w:themeColor="text1"/>
        </w:rPr>
        <w:t>(</w:t>
      </w:r>
      <w:hyperlink w:anchor="_ENREF_2_1" w:tooltip="U.S. EPA, 2014 #1128" w:history="1">
        <w:r w:rsidR="009F196C">
          <w:rPr>
            <w:noProof/>
            <w:color w:val="000000" w:themeColor="text1"/>
          </w:rPr>
          <w:t>U.S. EPA, 2014</w:t>
        </w:r>
      </w:hyperlink>
      <w:r w:rsidR="00B72B94">
        <w:rPr>
          <w:noProof/>
          <w:color w:val="000000" w:themeColor="text1"/>
        </w:rPr>
        <w:t>)</w:t>
      </w:r>
      <w:r>
        <w:rPr>
          <w:color w:val="000000" w:themeColor="text1"/>
        </w:rPr>
        <w:fldChar w:fldCharType="end"/>
      </w:r>
      <w:r w:rsidRPr="00DA4525">
        <w:rPr>
          <w:color w:val="000000" w:themeColor="text1"/>
        </w:rPr>
        <w:t xml:space="preserve">. </w:t>
      </w:r>
      <w:r>
        <w:rPr>
          <w:color w:val="000000" w:themeColor="text1"/>
        </w:rPr>
        <w:t>In this modeling, t</w:t>
      </w:r>
      <w:r w:rsidRPr="00DA4525">
        <w:rPr>
          <w:color w:val="000000" w:themeColor="text1"/>
        </w:rPr>
        <w:t>he relative change in response fac</w:t>
      </w:r>
      <w:r>
        <w:rPr>
          <w:color w:val="000000" w:themeColor="text1"/>
        </w:rPr>
        <w:t>tors between the 50 percent and 90 percent NO</w:t>
      </w:r>
      <w:r w:rsidRPr="007273A1">
        <w:rPr>
          <w:color w:val="000000" w:themeColor="text1"/>
          <w:vertAlign w:val="subscript"/>
        </w:rPr>
        <w:t>X</w:t>
      </w:r>
      <w:r w:rsidRPr="00DA4525">
        <w:rPr>
          <w:color w:val="000000" w:themeColor="text1"/>
        </w:rPr>
        <w:t xml:space="preserve"> reductions </w:t>
      </w:r>
      <w:r>
        <w:rPr>
          <w:color w:val="000000" w:themeColor="text1"/>
        </w:rPr>
        <w:t xml:space="preserve">was applied here </w:t>
      </w:r>
      <w:r w:rsidRPr="00DA4525">
        <w:rPr>
          <w:color w:val="000000" w:themeColor="text1"/>
        </w:rPr>
        <w:t>within the Northeast region for</w:t>
      </w:r>
      <w:r>
        <w:rPr>
          <w:color w:val="000000" w:themeColor="text1"/>
        </w:rPr>
        <w:t xml:space="preserve"> emissions reductions beyond 50 percent</w:t>
      </w:r>
      <w:r w:rsidRPr="00DA4525">
        <w:rPr>
          <w:color w:val="000000" w:themeColor="text1"/>
        </w:rPr>
        <w:t xml:space="preserve">. </w:t>
      </w:r>
    </w:p>
    <w:p w:rsidR="004C57A3" w:rsidRPr="00CC6F07" w:rsidRDefault="004C57A3" w:rsidP="00CC6F07">
      <w:pPr>
        <w:spacing w:line="360" w:lineRule="auto"/>
        <w:ind w:firstLine="720"/>
        <w:rPr>
          <w:color w:val="000000" w:themeColor="text1"/>
        </w:rPr>
      </w:pPr>
    </w:p>
    <w:p w:rsidR="00B72B94" w:rsidRDefault="00CC6F07" w:rsidP="0078495E">
      <w:pPr>
        <w:pStyle w:val="EndNoteBibliography"/>
        <w:spacing w:after="120"/>
        <w:rPr>
          <w:b/>
          <w:u w:val="single"/>
        </w:rPr>
      </w:pPr>
      <w:r>
        <w:rPr>
          <w:b/>
        </w:rPr>
        <w:t>References</w:t>
      </w:r>
    </w:p>
    <w:p w:rsidR="009F196C" w:rsidRPr="009F196C" w:rsidRDefault="00B72B94" w:rsidP="009F196C">
      <w:pPr>
        <w:pStyle w:val="EndNoteBibliography"/>
        <w:spacing w:after="360"/>
      </w:pPr>
      <w:r>
        <w:rPr>
          <w:b/>
          <w:u w:val="single"/>
        </w:rPr>
        <w:fldChar w:fldCharType="begin"/>
      </w:r>
      <w:r>
        <w:rPr>
          <w:b/>
          <w:u w:val="single"/>
        </w:rPr>
        <w:instrText xml:space="preserve"> ADDIN EN.SECTION.REFLIST </w:instrText>
      </w:r>
      <w:r>
        <w:rPr>
          <w:b/>
          <w:u w:val="single"/>
        </w:rPr>
        <w:fldChar w:fldCharType="separate"/>
      </w:r>
      <w:bookmarkStart w:id="1" w:name="_ENREF_2_1"/>
      <w:r w:rsidR="009F196C" w:rsidRPr="009F196C">
        <w:t>U.S. EPA, 2014. Regulatory Impact Analysis of the Proposed Revisions to the National Ambient Air Quality Standards for Ground-Level Ozone. Office of Air Quality Planning and Standards. &lt;</w:t>
      </w:r>
      <w:hyperlink r:id="rId28" w:history="1">
        <w:r w:rsidR="009F196C" w:rsidRPr="009F196C">
          <w:rPr>
            <w:rStyle w:val="Hyperlink"/>
          </w:rPr>
          <w:t>http://www.epa.gov/airquality/ozonepollution/pdfs/20141125ria.pdf&gt;</w:t>
        </w:r>
      </w:hyperlink>
      <w:r w:rsidR="009F196C" w:rsidRPr="009F196C">
        <w:t>.</w:t>
      </w:r>
      <w:bookmarkEnd w:id="1"/>
    </w:p>
    <w:p w:rsidR="009F196C" w:rsidRPr="009F196C" w:rsidRDefault="009F196C" w:rsidP="009F196C">
      <w:pPr>
        <w:pStyle w:val="EndNoteBibliography"/>
        <w:spacing w:after="360"/>
      </w:pPr>
      <w:bookmarkStart w:id="2" w:name="_ENREF_2_2"/>
      <w:r w:rsidRPr="009F196C">
        <w:t xml:space="preserve">U.S. EPA, 2015a. Memorandum from Stephen D. Page to Regional Air Division Directors, Regions 1-10: Information on the Interstate Transport “Good Neighbor” Provision for the 2008 Ozone National Ambient Air Quality Standards (NAAQS) under Clean Air Act Section 110(a)(2)(D)(i)(I), Air Quality Modeling Technical Support Document, January 22, 2015, Research Triangle Park, NC. </w:t>
      </w:r>
      <w:bookmarkEnd w:id="2"/>
    </w:p>
    <w:p w:rsidR="009F196C" w:rsidRPr="009F196C" w:rsidRDefault="009F196C" w:rsidP="009F196C">
      <w:pPr>
        <w:pStyle w:val="EndNoteBibliography"/>
      </w:pPr>
      <w:bookmarkStart w:id="3" w:name="_ENREF_2_3"/>
      <w:r w:rsidRPr="009F196C">
        <w:t>U.S. EPA, 2015b. Regulatory Impact Analysis of the Final Revisions to the National Ambient Air Quality Standards for Ground-Level Ozone. Office of Air Quality Planning and Standards, Research Triangle Park, NC. &lt;</w:t>
      </w:r>
      <w:hyperlink r:id="rId29" w:history="1">
        <w:r w:rsidRPr="009F196C">
          <w:rPr>
            <w:rStyle w:val="Hyperlink"/>
          </w:rPr>
          <w:t>http://www.epa.gov/airquality/ozonepollution/pdfs/20141125ria.pdf&gt;</w:t>
        </w:r>
      </w:hyperlink>
      <w:r w:rsidRPr="009F196C">
        <w:t>.</w:t>
      </w:r>
      <w:bookmarkEnd w:id="3"/>
    </w:p>
    <w:p w:rsidR="00CC6F07" w:rsidRPr="00CC6F07" w:rsidRDefault="00B72B94" w:rsidP="00611AC2">
      <w:pPr>
        <w:pStyle w:val="EndNoteBibliography"/>
        <w:spacing w:after="120"/>
        <w:rPr>
          <w:b/>
          <w:u w:val="single"/>
        </w:rPr>
      </w:pPr>
      <w:r>
        <w:rPr>
          <w:b/>
          <w:u w:val="single"/>
        </w:rPr>
        <w:fldChar w:fldCharType="end"/>
      </w:r>
    </w:p>
    <w:sectPr w:rsidR="00CC6F07" w:rsidRPr="00CC6F07" w:rsidSect="00EE6176">
      <w:headerReference w:type="even" r:id="rId30"/>
      <w:headerReference w:type="default" r:id="rId31"/>
      <w:footerReference w:type="even" r:id="rId32"/>
      <w:footerReference w:type="default" r:id="rId33"/>
      <w:headerReference w:type="first" r:id="rId34"/>
      <w:footerReference w:type="first" r:id="rId35"/>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93F" w:rsidRDefault="0067093F" w:rsidP="00FE4542">
      <w:r>
        <w:separator/>
      </w:r>
    </w:p>
  </w:endnote>
  <w:endnote w:type="continuationSeparator" w:id="0">
    <w:p w:rsidR="0067093F" w:rsidRDefault="0067093F" w:rsidP="00FE4542">
      <w:r>
        <w:continuationSeparator/>
      </w:r>
    </w:p>
  </w:endnote>
  <w:endnote w:type="continuationNotice" w:id="1">
    <w:p w:rsidR="0067093F" w:rsidRDefault="006709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178" w:rsidRDefault="00AE01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020890"/>
      <w:docPartObj>
        <w:docPartGallery w:val="Page Numbers (Bottom of Page)"/>
        <w:docPartUnique/>
      </w:docPartObj>
    </w:sdtPr>
    <w:sdtEndPr>
      <w:rPr>
        <w:noProof/>
      </w:rPr>
    </w:sdtEndPr>
    <w:sdtContent>
      <w:p w:rsidR="005C2A5A" w:rsidRDefault="005C2A5A">
        <w:pPr>
          <w:pStyle w:val="Footer"/>
          <w:jc w:val="center"/>
        </w:pPr>
        <w:r>
          <w:fldChar w:fldCharType="begin"/>
        </w:r>
        <w:r>
          <w:instrText xml:space="preserve"> PAGE   \* MERGEFORMAT </w:instrText>
        </w:r>
        <w:r>
          <w:fldChar w:fldCharType="separate"/>
        </w:r>
        <w:r w:rsidR="009151C3">
          <w:rPr>
            <w:noProof/>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178" w:rsidRDefault="00AE01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93F" w:rsidRDefault="0067093F" w:rsidP="00FE4542">
      <w:r>
        <w:separator/>
      </w:r>
    </w:p>
  </w:footnote>
  <w:footnote w:type="continuationSeparator" w:id="0">
    <w:p w:rsidR="0067093F" w:rsidRDefault="0067093F" w:rsidP="00FE4542">
      <w:r>
        <w:continuationSeparator/>
      </w:r>
    </w:p>
  </w:footnote>
  <w:footnote w:type="continuationNotice" w:id="1">
    <w:p w:rsidR="0067093F" w:rsidRDefault="0067093F"/>
  </w:footnote>
  <w:footnote w:id="2">
    <w:p w:rsidR="005C2A5A" w:rsidRDefault="009151C3" w:rsidP="009C5CE8">
      <w:pPr>
        <w:pStyle w:val="FootnoteText"/>
      </w:pPr>
      <w:r>
        <w:rPr>
          <w:rStyle w:val="FootnoteReference"/>
        </w:rPr>
        <w:t>17</w:t>
      </w:r>
      <w:r w:rsidR="005C2A5A">
        <w:t xml:space="preserve"> </w:t>
      </w:r>
      <w:r w:rsidR="005C2A5A" w:rsidRPr="00DA4525">
        <w:rPr>
          <w:rFonts w:eastAsiaTheme="minorEastAsia"/>
          <w:color w:val="000000" w:themeColor="text1"/>
        </w:rPr>
        <w:t>Source apportionment modeling shows how much ozone can be attributed to emissions from a specific location, which is different from the emissions sensitivit</w:t>
      </w:r>
      <w:r w:rsidR="005C2A5A">
        <w:rPr>
          <w:rFonts w:eastAsiaTheme="minorEastAsia"/>
          <w:color w:val="000000" w:themeColor="text1"/>
        </w:rPr>
        <w:t xml:space="preserve">y modeling. Emissions sensitivity modeling </w:t>
      </w:r>
      <w:r w:rsidR="005C2A5A" w:rsidRPr="00DA4525">
        <w:rPr>
          <w:rFonts w:eastAsiaTheme="minorEastAsia"/>
          <w:color w:val="000000" w:themeColor="text1"/>
        </w:rPr>
        <w:t xml:space="preserve">provides information about how ozone </w:t>
      </w:r>
      <w:r w:rsidR="005C2A5A">
        <w:rPr>
          <w:rFonts w:eastAsiaTheme="minorEastAsia"/>
          <w:color w:val="000000" w:themeColor="text1"/>
        </w:rPr>
        <w:t>concentrations</w:t>
      </w:r>
      <w:r w:rsidR="005C2A5A" w:rsidRPr="00DA4525">
        <w:rPr>
          <w:rFonts w:eastAsiaTheme="minorEastAsia"/>
          <w:color w:val="000000" w:themeColor="text1"/>
        </w:rPr>
        <w:t xml:space="preserve"> will change in response to emissions changes.</w:t>
      </w:r>
    </w:p>
  </w:footnote>
  <w:footnote w:id="3">
    <w:p w:rsidR="005C2A5A" w:rsidRDefault="009151C3" w:rsidP="009C5CE8">
      <w:pPr>
        <w:pStyle w:val="FootnoteText"/>
      </w:pPr>
      <w:r>
        <w:rPr>
          <w:rStyle w:val="FootnoteReference"/>
        </w:rPr>
        <w:t>1</w:t>
      </w:r>
      <w:r>
        <w:rPr>
          <w:rStyle w:val="FootnoteReference"/>
        </w:rPr>
        <w:t>8</w:t>
      </w:r>
      <w:r w:rsidR="005C2A5A">
        <w:t xml:space="preserve"> </w:t>
      </w:r>
      <w:r w:rsidR="005C2A5A" w:rsidRPr="00DA4525">
        <w:rPr>
          <w:rFonts w:eastAsiaTheme="minorEastAsia"/>
          <w:color w:val="000000" w:themeColor="text1"/>
        </w:rPr>
        <w:t>This state</w:t>
      </w:r>
      <w:bookmarkStart w:id="0" w:name="_GoBack"/>
      <w:bookmarkEnd w:id="0"/>
      <w:r w:rsidR="005C2A5A" w:rsidRPr="00DA4525">
        <w:rPr>
          <w:rFonts w:eastAsiaTheme="minorEastAsia"/>
          <w:color w:val="000000" w:themeColor="text1"/>
        </w:rPr>
        <w:t>-level attribution was not performed for the Northeast region since this region did not</w:t>
      </w:r>
      <w:r w:rsidR="005C2A5A">
        <w:rPr>
          <w:rFonts w:eastAsiaTheme="minorEastAsia"/>
          <w:color w:val="000000" w:themeColor="text1"/>
        </w:rPr>
        <w:t xml:space="preserve"> exactly</w:t>
      </w:r>
      <w:r w:rsidR="005C2A5A" w:rsidRPr="00DA4525">
        <w:rPr>
          <w:rFonts w:eastAsiaTheme="minorEastAsia"/>
          <w:color w:val="000000" w:themeColor="text1"/>
        </w:rPr>
        <w:t xml:space="preserve"> follow state boundaries</w:t>
      </w:r>
      <w:r w:rsidR="005C2A5A">
        <w:rPr>
          <w:rFonts w:eastAsiaTheme="minorEastAsia"/>
          <w:color w:val="000000" w:themeColor="text1"/>
        </w:rPr>
        <w:t>,</w:t>
      </w:r>
      <w:r w:rsidR="005C2A5A" w:rsidRPr="00DA4525">
        <w:rPr>
          <w:rFonts w:eastAsiaTheme="minorEastAsia"/>
          <w:color w:val="000000" w:themeColor="text1"/>
        </w:rPr>
        <w:t xml:space="preserve"> and thus could not be easily matched to the state-level source apportionment modeling.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178" w:rsidRDefault="00AE01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A5A" w:rsidRPr="009A1D20" w:rsidRDefault="002F68C4" w:rsidP="009A1D20">
    <w:pPr>
      <w:pStyle w:val="Header"/>
      <w:ind w:right="144"/>
      <w:jc w:val="center"/>
      <w:rPr>
        <w:i/>
      </w:rPr>
    </w:pPr>
    <w:r>
      <w:rPr>
        <w:i/>
      </w:rPr>
      <w:t>*** In</w:t>
    </w:r>
    <w:r w:rsidR="005C2A5A" w:rsidRPr="009A1D20">
      <w:rPr>
        <w:i/>
      </w:rPr>
      <w:t xml:space="preserve"> Review – Do Not Cite or Quote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A5A" w:rsidRPr="009A1D20" w:rsidRDefault="005C2A5A" w:rsidP="009A1D20">
    <w:pPr>
      <w:pStyle w:val="Header"/>
      <w:ind w:right="144"/>
      <w:jc w:val="center"/>
      <w:rPr>
        <w:i/>
      </w:rPr>
    </w:pPr>
    <w:r w:rsidRPr="009A1D20">
      <w:rPr>
        <w:i/>
      </w:rPr>
      <w:t>*** In Review – Do Not Cite or Quote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F4B8D"/>
    <w:multiLevelType w:val="hybridMultilevel"/>
    <w:tmpl w:val="BB6822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6D328E"/>
    <w:multiLevelType w:val="hybridMultilevel"/>
    <w:tmpl w:val="5666E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EA0623"/>
    <w:multiLevelType w:val="hybridMultilevel"/>
    <w:tmpl w:val="48F69B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5CD1219"/>
    <w:multiLevelType w:val="multilevel"/>
    <w:tmpl w:val="1A3EFCD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52100B"/>
    <w:multiLevelType w:val="hybridMultilevel"/>
    <w:tmpl w:val="4A2E38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18501C"/>
    <w:multiLevelType w:val="hybridMultilevel"/>
    <w:tmpl w:val="10F856F2"/>
    <w:lvl w:ilvl="0" w:tplc="16503F2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2B668F"/>
    <w:multiLevelType w:val="multilevel"/>
    <w:tmpl w:val="7860850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5679F"/>
    <w:multiLevelType w:val="hybridMultilevel"/>
    <w:tmpl w:val="7424E85E"/>
    <w:lvl w:ilvl="0" w:tplc="EB6645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1223208"/>
    <w:multiLevelType w:val="hybridMultilevel"/>
    <w:tmpl w:val="2004B37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323B3651"/>
    <w:multiLevelType w:val="multilevel"/>
    <w:tmpl w:val="20F6D17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24465B2"/>
    <w:multiLevelType w:val="hybridMultilevel"/>
    <w:tmpl w:val="1292A8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BF35C00"/>
    <w:multiLevelType w:val="multilevel"/>
    <w:tmpl w:val="6430DF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F774E83"/>
    <w:multiLevelType w:val="hybridMultilevel"/>
    <w:tmpl w:val="74160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11"/>
  </w:num>
  <w:num w:numId="4">
    <w:abstractNumId w:val="12"/>
  </w:num>
  <w:num w:numId="5">
    <w:abstractNumId w:val="10"/>
  </w:num>
  <w:num w:numId="6">
    <w:abstractNumId w:val="7"/>
  </w:num>
  <w:num w:numId="7">
    <w:abstractNumId w:val="8"/>
  </w:num>
  <w:num w:numId="8">
    <w:abstractNumId w:val="6"/>
  </w:num>
  <w:num w:numId="9">
    <w:abstractNumId w:val="3"/>
  </w:num>
  <w:num w:numId="10">
    <w:abstractNumId w:val="9"/>
  </w:num>
  <w:num w:numId="11">
    <w:abstractNumId w:val="2"/>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activeWritingStyle w:appName="MSWord" w:lang="en-US" w:vendorID="64" w:dllVersion="131078" w:nlCheck="1" w:checkStyle="0"/>
  <w:activeWritingStyle w:appName="MSWord" w:lang="fr-FR" w:vendorID="64" w:dllVersion="131078" w:nlCheck="1" w:checkStyle="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Environ Modelling Software&lt;/Style&gt;&lt;LeftDelim&gt;{&lt;/LeftDelim&gt;&lt;RightDelim&gt;}&lt;/RightDelim&gt;&lt;FontName&gt;Times New Roman&lt;/FontName&gt;&lt;FontSize&gt;12&lt;/FontSize&gt;&lt;ReflistTitle&gt;&lt;/ReflistTitle&gt;&lt;StartingRefnum&gt;1&lt;/StartingRefnum&gt;&lt;FirstLineIndent&gt;0&lt;/FirstLineIndent&gt;&lt;HangingIndent&gt;0&lt;/HangingIndent&gt;&lt;LineSpacing&gt;0&lt;/LineSpacing&gt;&lt;SpaceAfter&gt;2&lt;/SpaceAfter&gt;&lt;HyperlinksEnabled&gt;1&lt;/HyperlinksEnabled&gt;&lt;HyperlinksVisible&gt;0&lt;/HyperlinksVisible&gt;&lt;EnableBibliographyCategories&gt;0&lt;/EnableBibliographyCategories&gt;&lt;/ENLayout&gt;"/>
    <w:docVar w:name="EN.Libraries" w:val="&lt;Libraries&gt;&lt;item db-id=&quot;dp2r5xtw9xfdfzevrr152tsaeadpxz2wptwr&quot;&gt;macpherson_endnote_library&lt;record-ids&gt;&lt;item&gt;577&lt;/item&gt;&lt;item&gt;1093&lt;/item&gt;&lt;item&gt;1106&lt;/item&gt;&lt;item&gt;1107&lt;/item&gt;&lt;item&gt;1108&lt;/item&gt;&lt;item&gt;1109&lt;/item&gt;&lt;item&gt;1110&lt;/item&gt;&lt;item&gt;1111&lt;/item&gt;&lt;item&gt;1118&lt;/item&gt;&lt;item&gt;1124&lt;/item&gt;&lt;item&gt;1125&lt;/item&gt;&lt;item&gt;1127&lt;/item&gt;&lt;item&gt;1128&lt;/item&gt;&lt;item&gt;1141&lt;/item&gt;&lt;item&gt;1144&lt;/item&gt;&lt;item&gt;1145&lt;/item&gt;&lt;item&gt;1147&lt;/item&gt;&lt;item&gt;1149&lt;/item&gt;&lt;item&gt;1150&lt;/item&gt;&lt;item&gt;1151&lt;/item&gt;&lt;item&gt;1154&lt;/item&gt;&lt;item&gt;1155&lt;/item&gt;&lt;item&gt;1191&lt;/item&gt;&lt;item&gt;1192&lt;/item&gt;&lt;item&gt;1193&lt;/item&gt;&lt;item&gt;1196&lt;/item&gt;&lt;item&gt;1197&lt;/item&gt;&lt;item&gt;1198&lt;/item&gt;&lt;/record-ids&gt;&lt;/item&gt;&lt;/Libraries&gt;"/>
  </w:docVars>
  <w:rsids>
    <w:rsidRoot w:val="00BA495B"/>
    <w:rsid w:val="0000154A"/>
    <w:rsid w:val="00001861"/>
    <w:rsid w:val="00006363"/>
    <w:rsid w:val="0000645E"/>
    <w:rsid w:val="00006AA2"/>
    <w:rsid w:val="00007160"/>
    <w:rsid w:val="00007F50"/>
    <w:rsid w:val="0001001F"/>
    <w:rsid w:val="000122B9"/>
    <w:rsid w:val="00013FA0"/>
    <w:rsid w:val="000148A6"/>
    <w:rsid w:val="00016BC9"/>
    <w:rsid w:val="000236EF"/>
    <w:rsid w:val="00023B35"/>
    <w:rsid w:val="000248DF"/>
    <w:rsid w:val="0002630A"/>
    <w:rsid w:val="0003530E"/>
    <w:rsid w:val="000355F1"/>
    <w:rsid w:val="000364CA"/>
    <w:rsid w:val="000379ED"/>
    <w:rsid w:val="000404CD"/>
    <w:rsid w:val="000411C1"/>
    <w:rsid w:val="00042452"/>
    <w:rsid w:val="00044418"/>
    <w:rsid w:val="00044B1C"/>
    <w:rsid w:val="000456F6"/>
    <w:rsid w:val="000535DA"/>
    <w:rsid w:val="00054D20"/>
    <w:rsid w:val="000564FE"/>
    <w:rsid w:val="000578E5"/>
    <w:rsid w:val="0006151C"/>
    <w:rsid w:val="00064820"/>
    <w:rsid w:val="0006598A"/>
    <w:rsid w:val="00066A93"/>
    <w:rsid w:val="00077A53"/>
    <w:rsid w:val="0008068D"/>
    <w:rsid w:val="000807EC"/>
    <w:rsid w:val="00081946"/>
    <w:rsid w:val="00082EB9"/>
    <w:rsid w:val="00084BD1"/>
    <w:rsid w:val="00085BD8"/>
    <w:rsid w:val="00086FE3"/>
    <w:rsid w:val="000905D1"/>
    <w:rsid w:val="000909AE"/>
    <w:rsid w:val="000939CA"/>
    <w:rsid w:val="00094BB9"/>
    <w:rsid w:val="00096CE8"/>
    <w:rsid w:val="000A039E"/>
    <w:rsid w:val="000A071C"/>
    <w:rsid w:val="000A12B4"/>
    <w:rsid w:val="000A176F"/>
    <w:rsid w:val="000A6EFD"/>
    <w:rsid w:val="000A731F"/>
    <w:rsid w:val="000B00B6"/>
    <w:rsid w:val="000B278A"/>
    <w:rsid w:val="000B5820"/>
    <w:rsid w:val="000B5823"/>
    <w:rsid w:val="000B65B8"/>
    <w:rsid w:val="000B74DF"/>
    <w:rsid w:val="000B786B"/>
    <w:rsid w:val="000B7D63"/>
    <w:rsid w:val="000C12BC"/>
    <w:rsid w:val="000C2B85"/>
    <w:rsid w:val="000C2F98"/>
    <w:rsid w:val="000C344F"/>
    <w:rsid w:val="000D00EF"/>
    <w:rsid w:val="000D1691"/>
    <w:rsid w:val="000D42E3"/>
    <w:rsid w:val="000D431D"/>
    <w:rsid w:val="000D5182"/>
    <w:rsid w:val="000D51FB"/>
    <w:rsid w:val="000D6591"/>
    <w:rsid w:val="000D6817"/>
    <w:rsid w:val="000D727A"/>
    <w:rsid w:val="000E000F"/>
    <w:rsid w:val="000E3874"/>
    <w:rsid w:val="000F3844"/>
    <w:rsid w:val="000F3F08"/>
    <w:rsid w:val="000F498E"/>
    <w:rsid w:val="00101376"/>
    <w:rsid w:val="001013CC"/>
    <w:rsid w:val="00104970"/>
    <w:rsid w:val="00106663"/>
    <w:rsid w:val="001070EE"/>
    <w:rsid w:val="00107D47"/>
    <w:rsid w:val="00112B91"/>
    <w:rsid w:val="00120DDE"/>
    <w:rsid w:val="00121029"/>
    <w:rsid w:val="00121512"/>
    <w:rsid w:val="00123A46"/>
    <w:rsid w:val="00123ED1"/>
    <w:rsid w:val="00125701"/>
    <w:rsid w:val="001325ED"/>
    <w:rsid w:val="00133113"/>
    <w:rsid w:val="00134D9B"/>
    <w:rsid w:val="001455BD"/>
    <w:rsid w:val="00146D4C"/>
    <w:rsid w:val="00146D70"/>
    <w:rsid w:val="001477FD"/>
    <w:rsid w:val="00147ABB"/>
    <w:rsid w:val="00150F8A"/>
    <w:rsid w:val="00153EC1"/>
    <w:rsid w:val="00155D6C"/>
    <w:rsid w:val="00156CC4"/>
    <w:rsid w:val="00157649"/>
    <w:rsid w:val="00161453"/>
    <w:rsid w:val="001629BC"/>
    <w:rsid w:val="00162BFF"/>
    <w:rsid w:val="001630F0"/>
    <w:rsid w:val="001663C4"/>
    <w:rsid w:val="00166650"/>
    <w:rsid w:val="001718F7"/>
    <w:rsid w:val="00172169"/>
    <w:rsid w:val="00175A73"/>
    <w:rsid w:val="001816FE"/>
    <w:rsid w:val="00182A84"/>
    <w:rsid w:val="001864DF"/>
    <w:rsid w:val="00191652"/>
    <w:rsid w:val="00192FDB"/>
    <w:rsid w:val="00193AC6"/>
    <w:rsid w:val="00194849"/>
    <w:rsid w:val="001977E9"/>
    <w:rsid w:val="001A0DE0"/>
    <w:rsid w:val="001A7039"/>
    <w:rsid w:val="001A747A"/>
    <w:rsid w:val="001B0E11"/>
    <w:rsid w:val="001B2214"/>
    <w:rsid w:val="001B23F0"/>
    <w:rsid w:val="001B559F"/>
    <w:rsid w:val="001B60CF"/>
    <w:rsid w:val="001B7880"/>
    <w:rsid w:val="001C1895"/>
    <w:rsid w:val="001C3C63"/>
    <w:rsid w:val="001C549B"/>
    <w:rsid w:val="001C578E"/>
    <w:rsid w:val="001C5B39"/>
    <w:rsid w:val="001C6713"/>
    <w:rsid w:val="001C7AB6"/>
    <w:rsid w:val="001D495B"/>
    <w:rsid w:val="001D638C"/>
    <w:rsid w:val="001E0521"/>
    <w:rsid w:val="001E06AA"/>
    <w:rsid w:val="001E126B"/>
    <w:rsid w:val="001E1C47"/>
    <w:rsid w:val="001E423C"/>
    <w:rsid w:val="001E611D"/>
    <w:rsid w:val="001E715E"/>
    <w:rsid w:val="001F41BA"/>
    <w:rsid w:val="001F473B"/>
    <w:rsid w:val="001F4A09"/>
    <w:rsid w:val="001F4F21"/>
    <w:rsid w:val="001F72CE"/>
    <w:rsid w:val="001F7509"/>
    <w:rsid w:val="0020138D"/>
    <w:rsid w:val="00201ABA"/>
    <w:rsid w:val="00204811"/>
    <w:rsid w:val="002064A9"/>
    <w:rsid w:val="002066B7"/>
    <w:rsid w:val="0020703D"/>
    <w:rsid w:val="00207AAF"/>
    <w:rsid w:val="0021004D"/>
    <w:rsid w:val="002103DD"/>
    <w:rsid w:val="002112F9"/>
    <w:rsid w:val="00212177"/>
    <w:rsid w:val="00212806"/>
    <w:rsid w:val="00213AD4"/>
    <w:rsid w:val="00213E54"/>
    <w:rsid w:val="0021692D"/>
    <w:rsid w:val="00222979"/>
    <w:rsid w:val="00224CA4"/>
    <w:rsid w:val="00224E41"/>
    <w:rsid w:val="00225FEF"/>
    <w:rsid w:val="00226842"/>
    <w:rsid w:val="00231B73"/>
    <w:rsid w:val="00231ECA"/>
    <w:rsid w:val="00233EC4"/>
    <w:rsid w:val="00241E47"/>
    <w:rsid w:val="0024422C"/>
    <w:rsid w:val="002451AC"/>
    <w:rsid w:val="00245B24"/>
    <w:rsid w:val="00247514"/>
    <w:rsid w:val="00250CA9"/>
    <w:rsid w:val="0025317D"/>
    <w:rsid w:val="00256C85"/>
    <w:rsid w:val="002575E2"/>
    <w:rsid w:val="00271999"/>
    <w:rsid w:val="00277A3F"/>
    <w:rsid w:val="00280E77"/>
    <w:rsid w:val="00284F4B"/>
    <w:rsid w:val="00287179"/>
    <w:rsid w:val="00287766"/>
    <w:rsid w:val="0029069A"/>
    <w:rsid w:val="002932CE"/>
    <w:rsid w:val="002A02CF"/>
    <w:rsid w:val="002A06C9"/>
    <w:rsid w:val="002A39A6"/>
    <w:rsid w:val="002A3C3A"/>
    <w:rsid w:val="002A6B73"/>
    <w:rsid w:val="002B4B09"/>
    <w:rsid w:val="002B5F64"/>
    <w:rsid w:val="002B6FD3"/>
    <w:rsid w:val="002B7B37"/>
    <w:rsid w:val="002C5C19"/>
    <w:rsid w:val="002D100A"/>
    <w:rsid w:val="002D557D"/>
    <w:rsid w:val="002D6DC6"/>
    <w:rsid w:val="002D74EA"/>
    <w:rsid w:val="002E15DC"/>
    <w:rsid w:val="002E226D"/>
    <w:rsid w:val="002E3F08"/>
    <w:rsid w:val="002E4B4F"/>
    <w:rsid w:val="002F4D40"/>
    <w:rsid w:val="002F56DB"/>
    <w:rsid w:val="002F68C4"/>
    <w:rsid w:val="002F69F8"/>
    <w:rsid w:val="003067E1"/>
    <w:rsid w:val="00310413"/>
    <w:rsid w:val="00317CD2"/>
    <w:rsid w:val="00320EB4"/>
    <w:rsid w:val="00324244"/>
    <w:rsid w:val="00324605"/>
    <w:rsid w:val="00326CD0"/>
    <w:rsid w:val="00332918"/>
    <w:rsid w:val="003337B6"/>
    <w:rsid w:val="003415B5"/>
    <w:rsid w:val="00345541"/>
    <w:rsid w:val="003513FB"/>
    <w:rsid w:val="003615C7"/>
    <w:rsid w:val="00361C0F"/>
    <w:rsid w:val="00372A6F"/>
    <w:rsid w:val="00374751"/>
    <w:rsid w:val="0037644C"/>
    <w:rsid w:val="00381A3B"/>
    <w:rsid w:val="00382603"/>
    <w:rsid w:val="00382694"/>
    <w:rsid w:val="00384230"/>
    <w:rsid w:val="0038430E"/>
    <w:rsid w:val="00385B9C"/>
    <w:rsid w:val="003866F5"/>
    <w:rsid w:val="00391884"/>
    <w:rsid w:val="00393B9F"/>
    <w:rsid w:val="003A2712"/>
    <w:rsid w:val="003A2D72"/>
    <w:rsid w:val="003A4483"/>
    <w:rsid w:val="003A4824"/>
    <w:rsid w:val="003A55D7"/>
    <w:rsid w:val="003A653F"/>
    <w:rsid w:val="003A6D09"/>
    <w:rsid w:val="003B1B18"/>
    <w:rsid w:val="003B1E7E"/>
    <w:rsid w:val="003B35B4"/>
    <w:rsid w:val="003B41CB"/>
    <w:rsid w:val="003B4AD0"/>
    <w:rsid w:val="003B4CB7"/>
    <w:rsid w:val="003B4EDB"/>
    <w:rsid w:val="003B6167"/>
    <w:rsid w:val="003C2E0D"/>
    <w:rsid w:val="003C4A73"/>
    <w:rsid w:val="003C51A5"/>
    <w:rsid w:val="003C629C"/>
    <w:rsid w:val="003C7B6D"/>
    <w:rsid w:val="003D45BA"/>
    <w:rsid w:val="003D4DD4"/>
    <w:rsid w:val="003D5958"/>
    <w:rsid w:val="003D5A42"/>
    <w:rsid w:val="003D7DEE"/>
    <w:rsid w:val="003E0149"/>
    <w:rsid w:val="003E0E3C"/>
    <w:rsid w:val="003E0E99"/>
    <w:rsid w:val="003E1832"/>
    <w:rsid w:val="003E1F78"/>
    <w:rsid w:val="003E31FC"/>
    <w:rsid w:val="003E637C"/>
    <w:rsid w:val="003E73EB"/>
    <w:rsid w:val="003F1097"/>
    <w:rsid w:val="003F58A9"/>
    <w:rsid w:val="003F680A"/>
    <w:rsid w:val="004062D1"/>
    <w:rsid w:val="00412D64"/>
    <w:rsid w:val="00413B02"/>
    <w:rsid w:val="00420FC5"/>
    <w:rsid w:val="004225A8"/>
    <w:rsid w:val="004251D0"/>
    <w:rsid w:val="00426947"/>
    <w:rsid w:val="00427B62"/>
    <w:rsid w:val="0043085C"/>
    <w:rsid w:val="00430FA5"/>
    <w:rsid w:val="00431EF7"/>
    <w:rsid w:val="0043355C"/>
    <w:rsid w:val="004452D6"/>
    <w:rsid w:val="0044694E"/>
    <w:rsid w:val="00450C59"/>
    <w:rsid w:val="00450EFA"/>
    <w:rsid w:val="004527FA"/>
    <w:rsid w:val="00457CB6"/>
    <w:rsid w:val="00463C1C"/>
    <w:rsid w:val="00464948"/>
    <w:rsid w:val="004651A0"/>
    <w:rsid w:val="0047414C"/>
    <w:rsid w:val="00474C1F"/>
    <w:rsid w:val="004760B9"/>
    <w:rsid w:val="004767F3"/>
    <w:rsid w:val="004863E4"/>
    <w:rsid w:val="00486D11"/>
    <w:rsid w:val="00487FDC"/>
    <w:rsid w:val="00495927"/>
    <w:rsid w:val="004A430D"/>
    <w:rsid w:val="004A4B39"/>
    <w:rsid w:val="004A603B"/>
    <w:rsid w:val="004A67D3"/>
    <w:rsid w:val="004B52DE"/>
    <w:rsid w:val="004C035C"/>
    <w:rsid w:val="004C03DA"/>
    <w:rsid w:val="004C153E"/>
    <w:rsid w:val="004C57A3"/>
    <w:rsid w:val="004C708F"/>
    <w:rsid w:val="004C7640"/>
    <w:rsid w:val="004D0577"/>
    <w:rsid w:val="004D5F4D"/>
    <w:rsid w:val="004E18CB"/>
    <w:rsid w:val="004E21D4"/>
    <w:rsid w:val="004E2433"/>
    <w:rsid w:val="004E5CFF"/>
    <w:rsid w:val="004E7C34"/>
    <w:rsid w:val="004F2E70"/>
    <w:rsid w:val="004F46B4"/>
    <w:rsid w:val="004F5216"/>
    <w:rsid w:val="004F56B5"/>
    <w:rsid w:val="00502044"/>
    <w:rsid w:val="00503DCD"/>
    <w:rsid w:val="005054B3"/>
    <w:rsid w:val="00506CDC"/>
    <w:rsid w:val="005110CA"/>
    <w:rsid w:val="00512F15"/>
    <w:rsid w:val="00513CD1"/>
    <w:rsid w:val="0051550F"/>
    <w:rsid w:val="005222AA"/>
    <w:rsid w:val="00525B72"/>
    <w:rsid w:val="00526198"/>
    <w:rsid w:val="00527318"/>
    <w:rsid w:val="005303E6"/>
    <w:rsid w:val="005328BB"/>
    <w:rsid w:val="00533EDB"/>
    <w:rsid w:val="00535B71"/>
    <w:rsid w:val="00535E52"/>
    <w:rsid w:val="0054077E"/>
    <w:rsid w:val="00542C5A"/>
    <w:rsid w:val="00545BE3"/>
    <w:rsid w:val="00546E55"/>
    <w:rsid w:val="0054784B"/>
    <w:rsid w:val="00551BAF"/>
    <w:rsid w:val="005555C7"/>
    <w:rsid w:val="00555893"/>
    <w:rsid w:val="00555A46"/>
    <w:rsid w:val="0055639D"/>
    <w:rsid w:val="00556AB8"/>
    <w:rsid w:val="00562770"/>
    <w:rsid w:val="00564998"/>
    <w:rsid w:val="00565A96"/>
    <w:rsid w:val="00566B6C"/>
    <w:rsid w:val="00570882"/>
    <w:rsid w:val="00571005"/>
    <w:rsid w:val="0057319D"/>
    <w:rsid w:val="00577151"/>
    <w:rsid w:val="005773BE"/>
    <w:rsid w:val="00581272"/>
    <w:rsid w:val="005822EB"/>
    <w:rsid w:val="0058442D"/>
    <w:rsid w:val="005863C6"/>
    <w:rsid w:val="00594198"/>
    <w:rsid w:val="005946E7"/>
    <w:rsid w:val="0059590B"/>
    <w:rsid w:val="005967AE"/>
    <w:rsid w:val="00596F22"/>
    <w:rsid w:val="005972B6"/>
    <w:rsid w:val="005A3C14"/>
    <w:rsid w:val="005B1D80"/>
    <w:rsid w:val="005B260A"/>
    <w:rsid w:val="005B3B98"/>
    <w:rsid w:val="005B447B"/>
    <w:rsid w:val="005B4B26"/>
    <w:rsid w:val="005B59F1"/>
    <w:rsid w:val="005C2A5A"/>
    <w:rsid w:val="005C5465"/>
    <w:rsid w:val="005D087D"/>
    <w:rsid w:val="005D3101"/>
    <w:rsid w:val="005D5581"/>
    <w:rsid w:val="005D5E5A"/>
    <w:rsid w:val="005D75DD"/>
    <w:rsid w:val="005E1796"/>
    <w:rsid w:val="005E193F"/>
    <w:rsid w:val="005E3378"/>
    <w:rsid w:val="005E3F76"/>
    <w:rsid w:val="005E5784"/>
    <w:rsid w:val="005F060B"/>
    <w:rsid w:val="005F09CA"/>
    <w:rsid w:val="005F0B53"/>
    <w:rsid w:val="005F1AAA"/>
    <w:rsid w:val="005F4482"/>
    <w:rsid w:val="0060031B"/>
    <w:rsid w:val="006009D0"/>
    <w:rsid w:val="00604544"/>
    <w:rsid w:val="006055BF"/>
    <w:rsid w:val="006069DB"/>
    <w:rsid w:val="00611AC2"/>
    <w:rsid w:val="00611F63"/>
    <w:rsid w:val="00612015"/>
    <w:rsid w:val="00612B6B"/>
    <w:rsid w:val="00615332"/>
    <w:rsid w:val="0061644C"/>
    <w:rsid w:val="00627530"/>
    <w:rsid w:val="00634206"/>
    <w:rsid w:val="0063454D"/>
    <w:rsid w:val="0063682D"/>
    <w:rsid w:val="006379B6"/>
    <w:rsid w:val="006434D2"/>
    <w:rsid w:val="00644987"/>
    <w:rsid w:val="00644EB5"/>
    <w:rsid w:val="00645454"/>
    <w:rsid w:val="0064681C"/>
    <w:rsid w:val="006629CB"/>
    <w:rsid w:val="00664996"/>
    <w:rsid w:val="0066505F"/>
    <w:rsid w:val="006654BB"/>
    <w:rsid w:val="00666F03"/>
    <w:rsid w:val="0067093F"/>
    <w:rsid w:val="00673E0D"/>
    <w:rsid w:val="00673F14"/>
    <w:rsid w:val="00674626"/>
    <w:rsid w:val="00674EE3"/>
    <w:rsid w:val="00681E62"/>
    <w:rsid w:val="00686E28"/>
    <w:rsid w:val="00691050"/>
    <w:rsid w:val="006910F5"/>
    <w:rsid w:val="006926B3"/>
    <w:rsid w:val="006944A2"/>
    <w:rsid w:val="00697503"/>
    <w:rsid w:val="006A0F59"/>
    <w:rsid w:val="006A100F"/>
    <w:rsid w:val="006A11D1"/>
    <w:rsid w:val="006A20D9"/>
    <w:rsid w:val="006A3165"/>
    <w:rsid w:val="006A68AC"/>
    <w:rsid w:val="006B008C"/>
    <w:rsid w:val="006B1CB3"/>
    <w:rsid w:val="006B3171"/>
    <w:rsid w:val="006B37AB"/>
    <w:rsid w:val="006B5C51"/>
    <w:rsid w:val="006B6C71"/>
    <w:rsid w:val="006C04CB"/>
    <w:rsid w:val="006C1CAC"/>
    <w:rsid w:val="006C3FA1"/>
    <w:rsid w:val="006C48A2"/>
    <w:rsid w:val="006C4C0F"/>
    <w:rsid w:val="006C7B6D"/>
    <w:rsid w:val="006C7D82"/>
    <w:rsid w:val="006D019A"/>
    <w:rsid w:val="006D17F8"/>
    <w:rsid w:val="006D45CF"/>
    <w:rsid w:val="006D58D6"/>
    <w:rsid w:val="006D7E77"/>
    <w:rsid w:val="006E1EDA"/>
    <w:rsid w:val="006E5DCA"/>
    <w:rsid w:val="006E6CBB"/>
    <w:rsid w:val="006F3B32"/>
    <w:rsid w:val="006F5A12"/>
    <w:rsid w:val="006F7305"/>
    <w:rsid w:val="006F7897"/>
    <w:rsid w:val="007064B8"/>
    <w:rsid w:val="00706594"/>
    <w:rsid w:val="00706984"/>
    <w:rsid w:val="007120A7"/>
    <w:rsid w:val="0071329A"/>
    <w:rsid w:val="00713F59"/>
    <w:rsid w:val="00714839"/>
    <w:rsid w:val="00723224"/>
    <w:rsid w:val="0072380C"/>
    <w:rsid w:val="00725BF7"/>
    <w:rsid w:val="0072629D"/>
    <w:rsid w:val="0072660D"/>
    <w:rsid w:val="007273A1"/>
    <w:rsid w:val="007273EF"/>
    <w:rsid w:val="00730932"/>
    <w:rsid w:val="00730BD9"/>
    <w:rsid w:val="00731241"/>
    <w:rsid w:val="00732F3C"/>
    <w:rsid w:val="007336EB"/>
    <w:rsid w:val="00736CF4"/>
    <w:rsid w:val="00737B37"/>
    <w:rsid w:val="00740E83"/>
    <w:rsid w:val="00744C0A"/>
    <w:rsid w:val="00744C83"/>
    <w:rsid w:val="00746D60"/>
    <w:rsid w:val="00747F0D"/>
    <w:rsid w:val="00751F41"/>
    <w:rsid w:val="007557AD"/>
    <w:rsid w:val="00755C71"/>
    <w:rsid w:val="00756D6B"/>
    <w:rsid w:val="00757826"/>
    <w:rsid w:val="00757A32"/>
    <w:rsid w:val="00761620"/>
    <w:rsid w:val="007625BA"/>
    <w:rsid w:val="00762BC4"/>
    <w:rsid w:val="00763021"/>
    <w:rsid w:val="007631C9"/>
    <w:rsid w:val="0076454A"/>
    <w:rsid w:val="007650CF"/>
    <w:rsid w:val="007701EF"/>
    <w:rsid w:val="00773BEE"/>
    <w:rsid w:val="007769F1"/>
    <w:rsid w:val="00777A06"/>
    <w:rsid w:val="00780584"/>
    <w:rsid w:val="00780993"/>
    <w:rsid w:val="00781E79"/>
    <w:rsid w:val="0078495E"/>
    <w:rsid w:val="00790523"/>
    <w:rsid w:val="00793497"/>
    <w:rsid w:val="00794C29"/>
    <w:rsid w:val="00795E4E"/>
    <w:rsid w:val="00796413"/>
    <w:rsid w:val="00797C65"/>
    <w:rsid w:val="007A1DA3"/>
    <w:rsid w:val="007A2FA6"/>
    <w:rsid w:val="007A3A8B"/>
    <w:rsid w:val="007A6619"/>
    <w:rsid w:val="007B1059"/>
    <w:rsid w:val="007B1F8A"/>
    <w:rsid w:val="007C18DC"/>
    <w:rsid w:val="007D105C"/>
    <w:rsid w:val="007D6B73"/>
    <w:rsid w:val="007D6C17"/>
    <w:rsid w:val="007D76C6"/>
    <w:rsid w:val="007E2D91"/>
    <w:rsid w:val="007E3FCD"/>
    <w:rsid w:val="007E5E8C"/>
    <w:rsid w:val="007F04CE"/>
    <w:rsid w:val="007F26CF"/>
    <w:rsid w:val="007F2AB3"/>
    <w:rsid w:val="007F462C"/>
    <w:rsid w:val="007F49B7"/>
    <w:rsid w:val="007F763D"/>
    <w:rsid w:val="007F7DBE"/>
    <w:rsid w:val="00802CC0"/>
    <w:rsid w:val="00802F14"/>
    <w:rsid w:val="00804B90"/>
    <w:rsid w:val="00805855"/>
    <w:rsid w:val="008106A3"/>
    <w:rsid w:val="00815096"/>
    <w:rsid w:val="0081764A"/>
    <w:rsid w:val="00824E56"/>
    <w:rsid w:val="00825AF7"/>
    <w:rsid w:val="0083284F"/>
    <w:rsid w:val="0083379C"/>
    <w:rsid w:val="00833CEC"/>
    <w:rsid w:val="00834D2E"/>
    <w:rsid w:val="00836C0D"/>
    <w:rsid w:val="00837889"/>
    <w:rsid w:val="00840000"/>
    <w:rsid w:val="00841590"/>
    <w:rsid w:val="008419A6"/>
    <w:rsid w:val="008457AF"/>
    <w:rsid w:val="00847639"/>
    <w:rsid w:val="008501B6"/>
    <w:rsid w:val="00852FCF"/>
    <w:rsid w:val="008534B5"/>
    <w:rsid w:val="00857100"/>
    <w:rsid w:val="0086148C"/>
    <w:rsid w:val="00861A19"/>
    <w:rsid w:val="00864530"/>
    <w:rsid w:val="00864CC6"/>
    <w:rsid w:val="00866066"/>
    <w:rsid w:val="00874B8A"/>
    <w:rsid w:val="00876FCB"/>
    <w:rsid w:val="0088561B"/>
    <w:rsid w:val="00894333"/>
    <w:rsid w:val="00895B8C"/>
    <w:rsid w:val="00896C19"/>
    <w:rsid w:val="008A4A9F"/>
    <w:rsid w:val="008A5E78"/>
    <w:rsid w:val="008A672A"/>
    <w:rsid w:val="008A757D"/>
    <w:rsid w:val="008A7D3A"/>
    <w:rsid w:val="008B1A23"/>
    <w:rsid w:val="008B294A"/>
    <w:rsid w:val="008B2E84"/>
    <w:rsid w:val="008B44C2"/>
    <w:rsid w:val="008B5AC4"/>
    <w:rsid w:val="008B5D6E"/>
    <w:rsid w:val="008B64AD"/>
    <w:rsid w:val="008C2DC9"/>
    <w:rsid w:val="008C55CB"/>
    <w:rsid w:val="008C78AD"/>
    <w:rsid w:val="008D36E6"/>
    <w:rsid w:val="008D5E4B"/>
    <w:rsid w:val="008E0BFD"/>
    <w:rsid w:val="008E5369"/>
    <w:rsid w:val="008E602B"/>
    <w:rsid w:val="008F075A"/>
    <w:rsid w:val="008F0BB9"/>
    <w:rsid w:val="008F12A2"/>
    <w:rsid w:val="008F4410"/>
    <w:rsid w:val="008F4B02"/>
    <w:rsid w:val="00900477"/>
    <w:rsid w:val="00900884"/>
    <w:rsid w:val="0090196A"/>
    <w:rsid w:val="009028D1"/>
    <w:rsid w:val="00905440"/>
    <w:rsid w:val="009073F7"/>
    <w:rsid w:val="00911479"/>
    <w:rsid w:val="0091308C"/>
    <w:rsid w:val="009151C3"/>
    <w:rsid w:val="0091691E"/>
    <w:rsid w:val="00922B47"/>
    <w:rsid w:val="00924162"/>
    <w:rsid w:val="009241CF"/>
    <w:rsid w:val="0092445B"/>
    <w:rsid w:val="00926482"/>
    <w:rsid w:val="00930F8D"/>
    <w:rsid w:val="00933342"/>
    <w:rsid w:val="009338FE"/>
    <w:rsid w:val="00933CFC"/>
    <w:rsid w:val="009373E5"/>
    <w:rsid w:val="0094301D"/>
    <w:rsid w:val="00944E35"/>
    <w:rsid w:val="00945628"/>
    <w:rsid w:val="00945CCF"/>
    <w:rsid w:val="0094668C"/>
    <w:rsid w:val="00946ECB"/>
    <w:rsid w:val="00946F05"/>
    <w:rsid w:val="00947400"/>
    <w:rsid w:val="00952D0B"/>
    <w:rsid w:val="00956968"/>
    <w:rsid w:val="00975B5B"/>
    <w:rsid w:val="00976469"/>
    <w:rsid w:val="00976784"/>
    <w:rsid w:val="00976E9E"/>
    <w:rsid w:val="00977B09"/>
    <w:rsid w:val="00983E82"/>
    <w:rsid w:val="00984084"/>
    <w:rsid w:val="00985F81"/>
    <w:rsid w:val="00986D40"/>
    <w:rsid w:val="009A1D20"/>
    <w:rsid w:val="009A2B70"/>
    <w:rsid w:val="009A329D"/>
    <w:rsid w:val="009A64AF"/>
    <w:rsid w:val="009A7D96"/>
    <w:rsid w:val="009B57F3"/>
    <w:rsid w:val="009B61AB"/>
    <w:rsid w:val="009C35EA"/>
    <w:rsid w:val="009C3A76"/>
    <w:rsid w:val="009C4AFE"/>
    <w:rsid w:val="009C511A"/>
    <w:rsid w:val="009C5CE8"/>
    <w:rsid w:val="009C7284"/>
    <w:rsid w:val="009C7B51"/>
    <w:rsid w:val="009C7D86"/>
    <w:rsid w:val="009D214D"/>
    <w:rsid w:val="009D368E"/>
    <w:rsid w:val="009D723E"/>
    <w:rsid w:val="009E3DC4"/>
    <w:rsid w:val="009E58FB"/>
    <w:rsid w:val="009E7A6D"/>
    <w:rsid w:val="009F178B"/>
    <w:rsid w:val="009F196C"/>
    <w:rsid w:val="009F5BB1"/>
    <w:rsid w:val="009F76E6"/>
    <w:rsid w:val="00A003B1"/>
    <w:rsid w:val="00A01787"/>
    <w:rsid w:val="00A04AE4"/>
    <w:rsid w:val="00A06545"/>
    <w:rsid w:val="00A07535"/>
    <w:rsid w:val="00A102CB"/>
    <w:rsid w:val="00A106CF"/>
    <w:rsid w:val="00A130A9"/>
    <w:rsid w:val="00A14F8F"/>
    <w:rsid w:val="00A1641B"/>
    <w:rsid w:val="00A17695"/>
    <w:rsid w:val="00A20F2A"/>
    <w:rsid w:val="00A2393D"/>
    <w:rsid w:val="00A24877"/>
    <w:rsid w:val="00A2587B"/>
    <w:rsid w:val="00A25AED"/>
    <w:rsid w:val="00A264E6"/>
    <w:rsid w:val="00A31B0A"/>
    <w:rsid w:val="00A366B4"/>
    <w:rsid w:val="00A3722C"/>
    <w:rsid w:val="00A37414"/>
    <w:rsid w:val="00A44BB2"/>
    <w:rsid w:val="00A45507"/>
    <w:rsid w:val="00A45AB1"/>
    <w:rsid w:val="00A46B95"/>
    <w:rsid w:val="00A501DA"/>
    <w:rsid w:val="00A50233"/>
    <w:rsid w:val="00A54829"/>
    <w:rsid w:val="00A566EE"/>
    <w:rsid w:val="00A60EE5"/>
    <w:rsid w:val="00A6244F"/>
    <w:rsid w:val="00A71A0F"/>
    <w:rsid w:val="00A72D11"/>
    <w:rsid w:val="00A73D96"/>
    <w:rsid w:val="00A743E0"/>
    <w:rsid w:val="00A80CEB"/>
    <w:rsid w:val="00A818E1"/>
    <w:rsid w:val="00A8386D"/>
    <w:rsid w:val="00A8528E"/>
    <w:rsid w:val="00A86FC4"/>
    <w:rsid w:val="00A8754B"/>
    <w:rsid w:val="00A87C0C"/>
    <w:rsid w:val="00A91D84"/>
    <w:rsid w:val="00A92785"/>
    <w:rsid w:val="00A94DB5"/>
    <w:rsid w:val="00A950A3"/>
    <w:rsid w:val="00A9557D"/>
    <w:rsid w:val="00A95B06"/>
    <w:rsid w:val="00A96221"/>
    <w:rsid w:val="00AA1028"/>
    <w:rsid w:val="00AA32A1"/>
    <w:rsid w:val="00AA3468"/>
    <w:rsid w:val="00AA531B"/>
    <w:rsid w:val="00AA6884"/>
    <w:rsid w:val="00AB246A"/>
    <w:rsid w:val="00AB3437"/>
    <w:rsid w:val="00AB4AE8"/>
    <w:rsid w:val="00AC0B08"/>
    <w:rsid w:val="00AC2308"/>
    <w:rsid w:val="00AC3407"/>
    <w:rsid w:val="00AC47D3"/>
    <w:rsid w:val="00AC4AC6"/>
    <w:rsid w:val="00AC7DD0"/>
    <w:rsid w:val="00AD3A38"/>
    <w:rsid w:val="00AD6273"/>
    <w:rsid w:val="00AE0178"/>
    <w:rsid w:val="00AE0A91"/>
    <w:rsid w:val="00AE292B"/>
    <w:rsid w:val="00AE2A92"/>
    <w:rsid w:val="00AE2C4A"/>
    <w:rsid w:val="00AE34B9"/>
    <w:rsid w:val="00AF0B4E"/>
    <w:rsid w:val="00AF150D"/>
    <w:rsid w:val="00AF4568"/>
    <w:rsid w:val="00B00185"/>
    <w:rsid w:val="00B00D77"/>
    <w:rsid w:val="00B07241"/>
    <w:rsid w:val="00B07305"/>
    <w:rsid w:val="00B0785D"/>
    <w:rsid w:val="00B07C17"/>
    <w:rsid w:val="00B1023F"/>
    <w:rsid w:val="00B11254"/>
    <w:rsid w:val="00B12465"/>
    <w:rsid w:val="00B1269A"/>
    <w:rsid w:val="00B133C9"/>
    <w:rsid w:val="00B13DFA"/>
    <w:rsid w:val="00B17A33"/>
    <w:rsid w:val="00B2008C"/>
    <w:rsid w:val="00B23F10"/>
    <w:rsid w:val="00B24424"/>
    <w:rsid w:val="00B30E41"/>
    <w:rsid w:val="00B311CA"/>
    <w:rsid w:val="00B33AB0"/>
    <w:rsid w:val="00B33F15"/>
    <w:rsid w:val="00B35FA3"/>
    <w:rsid w:val="00B36575"/>
    <w:rsid w:val="00B3749D"/>
    <w:rsid w:val="00B37813"/>
    <w:rsid w:val="00B4215C"/>
    <w:rsid w:val="00B45E12"/>
    <w:rsid w:val="00B47627"/>
    <w:rsid w:val="00B501D6"/>
    <w:rsid w:val="00B503B1"/>
    <w:rsid w:val="00B51433"/>
    <w:rsid w:val="00B51BE0"/>
    <w:rsid w:val="00B530FA"/>
    <w:rsid w:val="00B53DAA"/>
    <w:rsid w:val="00B567AC"/>
    <w:rsid w:val="00B56F49"/>
    <w:rsid w:val="00B61754"/>
    <w:rsid w:val="00B64F7B"/>
    <w:rsid w:val="00B65481"/>
    <w:rsid w:val="00B666EE"/>
    <w:rsid w:val="00B66F02"/>
    <w:rsid w:val="00B72B94"/>
    <w:rsid w:val="00B733D8"/>
    <w:rsid w:val="00B749C4"/>
    <w:rsid w:val="00B76BD3"/>
    <w:rsid w:val="00B771F8"/>
    <w:rsid w:val="00B8238C"/>
    <w:rsid w:val="00B82EDD"/>
    <w:rsid w:val="00B8480C"/>
    <w:rsid w:val="00B8675D"/>
    <w:rsid w:val="00B94CC1"/>
    <w:rsid w:val="00B955B9"/>
    <w:rsid w:val="00B95F6B"/>
    <w:rsid w:val="00B9692A"/>
    <w:rsid w:val="00BA06C7"/>
    <w:rsid w:val="00BA0E06"/>
    <w:rsid w:val="00BA3860"/>
    <w:rsid w:val="00BA495B"/>
    <w:rsid w:val="00BA5A89"/>
    <w:rsid w:val="00BB0CCE"/>
    <w:rsid w:val="00BB3A42"/>
    <w:rsid w:val="00BB408C"/>
    <w:rsid w:val="00BB64BA"/>
    <w:rsid w:val="00BC0FC6"/>
    <w:rsid w:val="00BC1179"/>
    <w:rsid w:val="00BC1472"/>
    <w:rsid w:val="00BC2508"/>
    <w:rsid w:val="00BC4057"/>
    <w:rsid w:val="00BC5D0D"/>
    <w:rsid w:val="00BD0404"/>
    <w:rsid w:val="00BD4890"/>
    <w:rsid w:val="00BD58A4"/>
    <w:rsid w:val="00BD7094"/>
    <w:rsid w:val="00BD782A"/>
    <w:rsid w:val="00BE1426"/>
    <w:rsid w:val="00BE182F"/>
    <w:rsid w:val="00BE3545"/>
    <w:rsid w:val="00BE448A"/>
    <w:rsid w:val="00BE4C59"/>
    <w:rsid w:val="00BF18D1"/>
    <w:rsid w:val="00BF248A"/>
    <w:rsid w:val="00BF54D2"/>
    <w:rsid w:val="00BF55DF"/>
    <w:rsid w:val="00BF5854"/>
    <w:rsid w:val="00C00308"/>
    <w:rsid w:val="00C03E7F"/>
    <w:rsid w:val="00C13C79"/>
    <w:rsid w:val="00C16790"/>
    <w:rsid w:val="00C16BDD"/>
    <w:rsid w:val="00C24C2E"/>
    <w:rsid w:val="00C253B6"/>
    <w:rsid w:val="00C25DB3"/>
    <w:rsid w:val="00C26775"/>
    <w:rsid w:val="00C31A89"/>
    <w:rsid w:val="00C3209F"/>
    <w:rsid w:val="00C32BBF"/>
    <w:rsid w:val="00C33BB6"/>
    <w:rsid w:val="00C33F72"/>
    <w:rsid w:val="00C35EF6"/>
    <w:rsid w:val="00C42DB5"/>
    <w:rsid w:val="00C43175"/>
    <w:rsid w:val="00C47C5D"/>
    <w:rsid w:val="00C47CEB"/>
    <w:rsid w:val="00C50070"/>
    <w:rsid w:val="00C5007C"/>
    <w:rsid w:val="00C51809"/>
    <w:rsid w:val="00C51DA5"/>
    <w:rsid w:val="00C54015"/>
    <w:rsid w:val="00C56A1C"/>
    <w:rsid w:val="00C577B3"/>
    <w:rsid w:val="00C578B1"/>
    <w:rsid w:val="00C60685"/>
    <w:rsid w:val="00C61BC4"/>
    <w:rsid w:val="00C62403"/>
    <w:rsid w:val="00C62742"/>
    <w:rsid w:val="00C646C3"/>
    <w:rsid w:val="00C6516F"/>
    <w:rsid w:val="00C6745E"/>
    <w:rsid w:val="00C67E9A"/>
    <w:rsid w:val="00C70CEE"/>
    <w:rsid w:val="00C73D60"/>
    <w:rsid w:val="00C74AA0"/>
    <w:rsid w:val="00C74EEC"/>
    <w:rsid w:val="00C76DCA"/>
    <w:rsid w:val="00C76E3F"/>
    <w:rsid w:val="00C77716"/>
    <w:rsid w:val="00C82D52"/>
    <w:rsid w:val="00C9282C"/>
    <w:rsid w:val="00C92C45"/>
    <w:rsid w:val="00C95BBA"/>
    <w:rsid w:val="00C965BC"/>
    <w:rsid w:val="00C9790C"/>
    <w:rsid w:val="00CA0DFE"/>
    <w:rsid w:val="00CA299D"/>
    <w:rsid w:val="00CA53F7"/>
    <w:rsid w:val="00CB40CD"/>
    <w:rsid w:val="00CC09E3"/>
    <w:rsid w:val="00CC10D9"/>
    <w:rsid w:val="00CC162B"/>
    <w:rsid w:val="00CC42F2"/>
    <w:rsid w:val="00CC4326"/>
    <w:rsid w:val="00CC6F07"/>
    <w:rsid w:val="00CD13B9"/>
    <w:rsid w:val="00CD16E4"/>
    <w:rsid w:val="00CD28FE"/>
    <w:rsid w:val="00CD4C75"/>
    <w:rsid w:val="00CD7FC1"/>
    <w:rsid w:val="00CE15B3"/>
    <w:rsid w:val="00CE1982"/>
    <w:rsid w:val="00CE1B90"/>
    <w:rsid w:val="00CE69BE"/>
    <w:rsid w:val="00CE6CED"/>
    <w:rsid w:val="00CE7551"/>
    <w:rsid w:val="00CF0714"/>
    <w:rsid w:val="00CF3110"/>
    <w:rsid w:val="00CF38EF"/>
    <w:rsid w:val="00CF3984"/>
    <w:rsid w:val="00CF47F0"/>
    <w:rsid w:val="00CF5CC2"/>
    <w:rsid w:val="00CF637C"/>
    <w:rsid w:val="00D01208"/>
    <w:rsid w:val="00D015EC"/>
    <w:rsid w:val="00D02FD8"/>
    <w:rsid w:val="00D04832"/>
    <w:rsid w:val="00D10F9B"/>
    <w:rsid w:val="00D13380"/>
    <w:rsid w:val="00D1436D"/>
    <w:rsid w:val="00D1755A"/>
    <w:rsid w:val="00D17B63"/>
    <w:rsid w:val="00D206CF"/>
    <w:rsid w:val="00D21DFC"/>
    <w:rsid w:val="00D22E72"/>
    <w:rsid w:val="00D23A06"/>
    <w:rsid w:val="00D242BA"/>
    <w:rsid w:val="00D25225"/>
    <w:rsid w:val="00D25EA7"/>
    <w:rsid w:val="00D317E1"/>
    <w:rsid w:val="00D34306"/>
    <w:rsid w:val="00D34647"/>
    <w:rsid w:val="00D34AD1"/>
    <w:rsid w:val="00D34B2C"/>
    <w:rsid w:val="00D34CEB"/>
    <w:rsid w:val="00D36B2B"/>
    <w:rsid w:val="00D37E4B"/>
    <w:rsid w:val="00D404E2"/>
    <w:rsid w:val="00D41C69"/>
    <w:rsid w:val="00D44497"/>
    <w:rsid w:val="00D44B6A"/>
    <w:rsid w:val="00D47BE0"/>
    <w:rsid w:val="00D516C8"/>
    <w:rsid w:val="00D54C1B"/>
    <w:rsid w:val="00D566E8"/>
    <w:rsid w:val="00D570AD"/>
    <w:rsid w:val="00D575D1"/>
    <w:rsid w:val="00D6047D"/>
    <w:rsid w:val="00D6205A"/>
    <w:rsid w:val="00D6786B"/>
    <w:rsid w:val="00D67F9C"/>
    <w:rsid w:val="00D733D7"/>
    <w:rsid w:val="00D756F3"/>
    <w:rsid w:val="00D76CE3"/>
    <w:rsid w:val="00D83F77"/>
    <w:rsid w:val="00D85BEA"/>
    <w:rsid w:val="00D85D80"/>
    <w:rsid w:val="00D86720"/>
    <w:rsid w:val="00D9038A"/>
    <w:rsid w:val="00D93A3F"/>
    <w:rsid w:val="00DA4525"/>
    <w:rsid w:val="00DA5001"/>
    <w:rsid w:val="00DA5F51"/>
    <w:rsid w:val="00DB1D99"/>
    <w:rsid w:val="00DB53AD"/>
    <w:rsid w:val="00DB549B"/>
    <w:rsid w:val="00DC223E"/>
    <w:rsid w:val="00DC383F"/>
    <w:rsid w:val="00DD1A17"/>
    <w:rsid w:val="00DD2B31"/>
    <w:rsid w:val="00DD40E3"/>
    <w:rsid w:val="00DD45D2"/>
    <w:rsid w:val="00DD55DE"/>
    <w:rsid w:val="00DE1673"/>
    <w:rsid w:val="00DE2493"/>
    <w:rsid w:val="00DE27BA"/>
    <w:rsid w:val="00DF1A8C"/>
    <w:rsid w:val="00DF2539"/>
    <w:rsid w:val="00DF2E9B"/>
    <w:rsid w:val="00DF3B79"/>
    <w:rsid w:val="00DF3D50"/>
    <w:rsid w:val="00DF3F91"/>
    <w:rsid w:val="00DF5BF7"/>
    <w:rsid w:val="00DF7324"/>
    <w:rsid w:val="00E00529"/>
    <w:rsid w:val="00E00A5F"/>
    <w:rsid w:val="00E05B07"/>
    <w:rsid w:val="00E070FE"/>
    <w:rsid w:val="00E0792F"/>
    <w:rsid w:val="00E07FE7"/>
    <w:rsid w:val="00E10137"/>
    <w:rsid w:val="00E11864"/>
    <w:rsid w:val="00E128A0"/>
    <w:rsid w:val="00E13821"/>
    <w:rsid w:val="00E14C4B"/>
    <w:rsid w:val="00E179AC"/>
    <w:rsid w:val="00E2112E"/>
    <w:rsid w:val="00E21E06"/>
    <w:rsid w:val="00E246DA"/>
    <w:rsid w:val="00E361FF"/>
    <w:rsid w:val="00E41114"/>
    <w:rsid w:val="00E41984"/>
    <w:rsid w:val="00E43E5E"/>
    <w:rsid w:val="00E556AE"/>
    <w:rsid w:val="00E57FE7"/>
    <w:rsid w:val="00E6097A"/>
    <w:rsid w:val="00E652A9"/>
    <w:rsid w:val="00E674BC"/>
    <w:rsid w:val="00E7776D"/>
    <w:rsid w:val="00E8050E"/>
    <w:rsid w:val="00E81B53"/>
    <w:rsid w:val="00E8318B"/>
    <w:rsid w:val="00E84397"/>
    <w:rsid w:val="00E873C9"/>
    <w:rsid w:val="00E92824"/>
    <w:rsid w:val="00E951E7"/>
    <w:rsid w:val="00E95557"/>
    <w:rsid w:val="00E956BD"/>
    <w:rsid w:val="00EA06F9"/>
    <w:rsid w:val="00EA1584"/>
    <w:rsid w:val="00EA1ADD"/>
    <w:rsid w:val="00EA2902"/>
    <w:rsid w:val="00EA3F58"/>
    <w:rsid w:val="00EA503A"/>
    <w:rsid w:val="00EA6899"/>
    <w:rsid w:val="00EB1138"/>
    <w:rsid w:val="00EB5DAA"/>
    <w:rsid w:val="00EB7E34"/>
    <w:rsid w:val="00EC03B8"/>
    <w:rsid w:val="00EC1EED"/>
    <w:rsid w:val="00EC3428"/>
    <w:rsid w:val="00EC342B"/>
    <w:rsid w:val="00EC4178"/>
    <w:rsid w:val="00EC7626"/>
    <w:rsid w:val="00ED33B2"/>
    <w:rsid w:val="00ED430F"/>
    <w:rsid w:val="00ED4D31"/>
    <w:rsid w:val="00ED585F"/>
    <w:rsid w:val="00ED5F68"/>
    <w:rsid w:val="00ED6999"/>
    <w:rsid w:val="00EE2297"/>
    <w:rsid w:val="00EE3A91"/>
    <w:rsid w:val="00EE55C1"/>
    <w:rsid w:val="00EE6176"/>
    <w:rsid w:val="00EE7035"/>
    <w:rsid w:val="00EF0C94"/>
    <w:rsid w:val="00EF117D"/>
    <w:rsid w:val="00EF18AB"/>
    <w:rsid w:val="00EF2C2D"/>
    <w:rsid w:val="00EF3811"/>
    <w:rsid w:val="00EF3D0E"/>
    <w:rsid w:val="00F03239"/>
    <w:rsid w:val="00F062FB"/>
    <w:rsid w:val="00F125CB"/>
    <w:rsid w:val="00F1326D"/>
    <w:rsid w:val="00F136C8"/>
    <w:rsid w:val="00F14EF5"/>
    <w:rsid w:val="00F20323"/>
    <w:rsid w:val="00F276C0"/>
    <w:rsid w:val="00F307F5"/>
    <w:rsid w:val="00F35615"/>
    <w:rsid w:val="00F37A5B"/>
    <w:rsid w:val="00F4138E"/>
    <w:rsid w:val="00F4208D"/>
    <w:rsid w:val="00F4344F"/>
    <w:rsid w:val="00F43639"/>
    <w:rsid w:val="00F44EF8"/>
    <w:rsid w:val="00F476A0"/>
    <w:rsid w:val="00F50898"/>
    <w:rsid w:val="00F5230B"/>
    <w:rsid w:val="00F5374A"/>
    <w:rsid w:val="00F57041"/>
    <w:rsid w:val="00F65386"/>
    <w:rsid w:val="00F663F9"/>
    <w:rsid w:val="00F704BA"/>
    <w:rsid w:val="00F7223B"/>
    <w:rsid w:val="00F72E4E"/>
    <w:rsid w:val="00F76E02"/>
    <w:rsid w:val="00F82960"/>
    <w:rsid w:val="00F82C61"/>
    <w:rsid w:val="00F847C3"/>
    <w:rsid w:val="00F84AA6"/>
    <w:rsid w:val="00F860D1"/>
    <w:rsid w:val="00F931F7"/>
    <w:rsid w:val="00F93460"/>
    <w:rsid w:val="00F93E4C"/>
    <w:rsid w:val="00F94FE3"/>
    <w:rsid w:val="00F97764"/>
    <w:rsid w:val="00FA1A36"/>
    <w:rsid w:val="00FA2614"/>
    <w:rsid w:val="00FA268A"/>
    <w:rsid w:val="00FA5E74"/>
    <w:rsid w:val="00FA6E2E"/>
    <w:rsid w:val="00FB195A"/>
    <w:rsid w:val="00FB204D"/>
    <w:rsid w:val="00FB483C"/>
    <w:rsid w:val="00FB5B2D"/>
    <w:rsid w:val="00FB5C32"/>
    <w:rsid w:val="00FB7482"/>
    <w:rsid w:val="00FC1A5A"/>
    <w:rsid w:val="00FC2FCB"/>
    <w:rsid w:val="00FC5945"/>
    <w:rsid w:val="00FC70D9"/>
    <w:rsid w:val="00FD3351"/>
    <w:rsid w:val="00FD3E94"/>
    <w:rsid w:val="00FD4903"/>
    <w:rsid w:val="00FD6C81"/>
    <w:rsid w:val="00FE1172"/>
    <w:rsid w:val="00FE21EC"/>
    <w:rsid w:val="00FE4542"/>
    <w:rsid w:val="00FE4A3F"/>
    <w:rsid w:val="00FE55F8"/>
    <w:rsid w:val="00FE5662"/>
    <w:rsid w:val="00FE62E3"/>
    <w:rsid w:val="00FE6912"/>
    <w:rsid w:val="00FF0D28"/>
    <w:rsid w:val="00FF198D"/>
    <w:rsid w:val="00FF65A8"/>
    <w:rsid w:val="00FF70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5A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225A8"/>
    <w:pPr>
      <w:spacing w:before="100" w:beforeAutospacing="1" w:after="100" w:afterAutospacing="1"/>
    </w:pPr>
    <w:rPr>
      <w:rFonts w:eastAsia="Times New Roman"/>
    </w:rPr>
  </w:style>
  <w:style w:type="character" w:styleId="Hyperlink">
    <w:name w:val="Hyperlink"/>
    <w:basedOn w:val="DefaultParagraphFont"/>
    <w:uiPriority w:val="99"/>
    <w:unhideWhenUsed/>
    <w:rsid w:val="004225A8"/>
    <w:rPr>
      <w:color w:val="0563C1" w:themeColor="hyperlink"/>
      <w:u w:val="single"/>
    </w:rPr>
  </w:style>
  <w:style w:type="paragraph" w:styleId="Header">
    <w:name w:val="header"/>
    <w:basedOn w:val="Normal"/>
    <w:link w:val="HeaderChar"/>
    <w:uiPriority w:val="99"/>
    <w:unhideWhenUsed/>
    <w:rsid w:val="00FE4542"/>
    <w:pPr>
      <w:tabs>
        <w:tab w:val="center" w:pos="4680"/>
        <w:tab w:val="right" w:pos="9360"/>
      </w:tabs>
    </w:pPr>
  </w:style>
  <w:style w:type="character" w:customStyle="1" w:styleId="HeaderChar">
    <w:name w:val="Header Char"/>
    <w:basedOn w:val="DefaultParagraphFont"/>
    <w:link w:val="Header"/>
    <w:uiPriority w:val="99"/>
    <w:rsid w:val="00FE4542"/>
    <w:rPr>
      <w:rFonts w:ascii="Times New Roman" w:hAnsi="Times New Roman" w:cs="Times New Roman"/>
      <w:sz w:val="24"/>
      <w:szCs w:val="24"/>
    </w:rPr>
  </w:style>
  <w:style w:type="paragraph" w:styleId="Footer">
    <w:name w:val="footer"/>
    <w:basedOn w:val="Normal"/>
    <w:link w:val="FooterChar"/>
    <w:unhideWhenUsed/>
    <w:rsid w:val="00FE4542"/>
    <w:pPr>
      <w:tabs>
        <w:tab w:val="center" w:pos="4680"/>
        <w:tab w:val="right" w:pos="9360"/>
      </w:tabs>
    </w:pPr>
  </w:style>
  <w:style w:type="character" w:customStyle="1" w:styleId="FooterChar">
    <w:name w:val="Footer Char"/>
    <w:basedOn w:val="DefaultParagraphFont"/>
    <w:link w:val="Footer"/>
    <w:uiPriority w:val="99"/>
    <w:rsid w:val="00FE4542"/>
    <w:rPr>
      <w:rFonts w:ascii="Times New Roman" w:hAnsi="Times New Roman" w:cs="Times New Roman"/>
      <w:sz w:val="24"/>
      <w:szCs w:val="24"/>
    </w:rPr>
  </w:style>
  <w:style w:type="paragraph" w:styleId="ListParagraph">
    <w:name w:val="List Paragraph"/>
    <w:basedOn w:val="Normal"/>
    <w:uiPriority w:val="34"/>
    <w:qFormat/>
    <w:rsid w:val="006C1CAC"/>
    <w:pPr>
      <w:ind w:left="720"/>
      <w:contextualSpacing/>
    </w:pPr>
  </w:style>
  <w:style w:type="paragraph" w:customStyle="1" w:styleId="EndNoteBibliographyTitle">
    <w:name w:val="EndNote Bibliography Title"/>
    <w:basedOn w:val="Normal"/>
    <w:link w:val="EndNoteBibliographyTitleChar"/>
    <w:rsid w:val="00CC09E3"/>
    <w:pPr>
      <w:jc w:val="center"/>
    </w:pPr>
    <w:rPr>
      <w:noProof/>
    </w:rPr>
  </w:style>
  <w:style w:type="character" w:customStyle="1" w:styleId="EndNoteBibliographyTitleChar">
    <w:name w:val="EndNote Bibliography Title Char"/>
    <w:basedOn w:val="DefaultParagraphFont"/>
    <w:link w:val="EndNoteBibliographyTitle"/>
    <w:rsid w:val="00CC09E3"/>
    <w:rPr>
      <w:rFonts w:ascii="Times New Roman" w:hAnsi="Times New Roman" w:cs="Times New Roman"/>
      <w:noProof/>
      <w:sz w:val="24"/>
      <w:szCs w:val="24"/>
    </w:rPr>
  </w:style>
  <w:style w:type="paragraph" w:customStyle="1" w:styleId="EndNoteBibliography">
    <w:name w:val="EndNote Bibliography"/>
    <w:basedOn w:val="Normal"/>
    <w:link w:val="EndNoteBibliographyChar"/>
    <w:rsid w:val="00CC09E3"/>
    <w:rPr>
      <w:noProof/>
    </w:rPr>
  </w:style>
  <w:style w:type="character" w:customStyle="1" w:styleId="EndNoteBibliographyChar">
    <w:name w:val="EndNote Bibliography Char"/>
    <w:basedOn w:val="DefaultParagraphFont"/>
    <w:link w:val="EndNoteBibliography"/>
    <w:rsid w:val="00CC09E3"/>
    <w:rPr>
      <w:rFonts w:ascii="Times New Roman" w:hAnsi="Times New Roman" w:cs="Times New Roman"/>
      <w:noProof/>
      <w:sz w:val="24"/>
      <w:szCs w:val="24"/>
    </w:rPr>
  </w:style>
  <w:style w:type="character" w:customStyle="1" w:styleId="MTEquationSection">
    <w:name w:val="MTEquationSection"/>
    <w:basedOn w:val="DefaultParagraphFont"/>
    <w:rsid w:val="00F4138E"/>
    <w:rPr>
      <w:rFonts w:ascii="Times New Roman" w:hAnsi="Times New Roman" w:cs="Times New Roman"/>
      <w:b/>
      <w:vanish/>
      <w:color w:val="FF0000"/>
      <w:sz w:val="24"/>
    </w:rPr>
  </w:style>
  <w:style w:type="paragraph" w:customStyle="1" w:styleId="MTDisplayEquation">
    <w:name w:val="MTDisplayEquation"/>
    <w:basedOn w:val="Normal"/>
    <w:next w:val="Normal"/>
    <w:link w:val="MTDisplayEquationChar"/>
    <w:rsid w:val="00F4138E"/>
    <w:pPr>
      <w:tabs>
        <w:tab w:val="center" w:pos="5040"/>
        <w:tab w:val="right" w:pos="9360"/>
      </w:tabs>
      <w:spacing w:after="160" w:line="259" w:lineRule="auto"/>
      <w:ind w:left="720" w:hanging="720"/>
    </w:pPr>
    <w:rPr>
      <w:b/>
      <w:szCs w:val="22"/>
    </w:rPr>
  </w:style>
  <w:style w:type="character" w:customStyle="1" w:styleId="MTDisplayEquationChar">
    <w:name w:val="MTDisplayEquation Char"/>
    <w:basedOn w:val="DefaultParagraphFont"/>
    <w:link w:val="MTDisplayEquation"/>
    <w:rsid w:val="00F4138E"/>
    <w:rPr>
      <w:rFonts w:ascii="Times New Roman" w:hAnsi="Times New Roman" w:cs="Times New Roman"/>
      <w:b/>
      <w:sz w:val="24"/>
    </w:rPr>
  </w:style>
  <w:style w:type="paragraph" w:styleId="FootnoteText">
    <w:name w:val="footnote text"/>
    <w:basedOn w:val="Normal"/>
    <w:link w:val="FootnoteTextChar"/>
    <w:uiPriority w:val="99"/>
    <w:semiHidden/>
    <w:unhideWhenUsed/>
    <w:rsid w:val="00BD782A"/>
    <w:rPr>
      <w:sz w:val="20"/>
      <w:szCs w:val="20"/>
    </w:rPr>
  </w:style>
  <w:style w:type="character" w:customStyle="1" w:styleId="FootnoteTextChar">
    <w:name w:val="Footnote Text Char"/>
    <w:basedOn w:val="DefaultParagraphFont"/>
    <w:link w:val="FootnoteText"/>
    <w:uiPriority w:val="99"/>
    <w:semiHidden/>
    <w:rsid w:val="00BD782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D782A"/>
    <w:rPr>
      <w:vertAlign w:val="superscript"/>
    </w:rPr>
  </w:style>
  <w:style w:type="paragraph" w:customStyle="1" w:styleId="05BodyText">
    <w:name w:val="05 BodyText"/>
    <w:basedOn w:val="Normal"/>
    <w:qFormat/>
    <w:rsid w:val="006C3FA1"/>
    <w:pPr>
      <w:spacing w:after="240" w:line="360" w:lineRule="auto"/>
      <w:ind w:firstLine="576"/>
    </w:pPr>
    <w:rPr>
      <w:rFonts w:eastAsia="Times New Roman"/>
    </w:rPr>
  </w:style>
  <w:style w:type="paragraph" w:customStyle="1" w:styleId="06BodyText-NoIndent">
    <w:name w:val="06 Body Text - No Indent"/>
    <w:basedOn w:val="Normal"/>
    <w:next w:val="05BodyText"/>
    <w:rsid w:val="006C3FA1"/>
    <w:pPr>
      <w:spacing w:after="240" w:line="360" w:lineRule="auto"/>
    </w:pPr>
    <w:rPr>
      <w:rFonts w:eastAsia="Times New Roman"/>
    </w:rPr>
  </w:style>
  <w:style w:type="paragraph" w:customStyle="1" w:styleId="02First-LevelSubheadingBOLD">
    <w:name w:val="02 First-Level Subheading BOLD"/>
    <w:basedOn w:val="Normal"/>
    <w:next w:val="05BodyText"/>
    <w:qFormat/>
    <w:rsid w:val="006C3FA1"/>
    <w:pPr>
      <w:keepNext/>
      <w:spacing w:after="240"/>
      <w:outlineLvl w:val="1"/>
    </w:pPr>
    <w:rPr>
      <w:rFonts w:eastAsia="Times New Roman"/>
      <w:b/>
    </w:rPr>
  </w:style>
  <w:style w:type="paragraph" w:customStyle="1" w:styleId="11CaptionTable">
    <w:name w:val="11 Caption Table"/>
    <w:basedOn w:val="Normal"/>
    <w:next w:val="05BodyText"/>
    <w:qFormat/>
    <w:rsid w:val="006C3FA1"/>
    <w:pPr>
      <w:keepNext/>
      <w:ind w:left="1080" w:hanging="1080"/>
    </w:pPr>
    <w:rPr>
      <w:rFonts w:eastAsia="Times New Roman"/>
      <w:b/>
    </w:rPr>
  </w:style>
  <w:style w:type="character" w:styleId="PageNumber">
    <w:name w:val="page number"/>
    <w:basedOn w:val="DefaultParagraphFont"/>
    <w:rsid w:val="006C3FA1"/>
  </w:style>
  <w:style w:type="character" w:styleId="CommentReference">
    <w:name w:val="annotation reference"/>
    <w:basedOn w:val="DefaultParagraphFont"/>
    <w:uiPriority w:val="99"/>
    <w:semiHidden/>
    <w:unhideWhenUsed/>
    <w:rsid w:val="00673F14"/>
    <w:rPr>
      <w:sz w:val="16"/>
      <w:szCs w:val="16"/>
    </w:rPr>
  </w:style>
  <w:style w:type="paragraph" w:styleId="CommentText">
    <w:name w:val="annotation text"/>
    <w:basedOn w:val="Normal"/>
    <w:link w:val="CommentTextChar"/>
    <w:uiPriority w:val="99"/>
    <w:unhideWhenUsed/>
    <w:rsid w:val="00673F14"/>
    <w:rPr>
      <w:sz w:val="20"/>
      <w:szCs w:val="20"/>
    </w:rPr>
  </w:style>
  <w:style w:type="character" w:customStyle="1" w:styleId="CommentTextChar">
    <w:name w:val="Comment Text Char"/>
    <w:basedOn w:val="DefaultParagraphFont"/>
    <w:link w:val="CommentText"/>
    <w:uiPriority w:val="99"/>
    <w:rsid w:val="00673F1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73F14"/>
    <w:rPr>
      <w:b/>
      <w:bCs/>
    </w:rPr>
  </w:style>
  <w:style w:type="character" w:customStyle="1" w:styleId="CommentSubjectChar">
    <w:name w:val="Comment Subject Char"/>
    <w:basedOn w:val="CommentTextChar"/>
    <w:link w:val="CommentSubject"/>
    <w:uiPriority w:val="99"/>
    <w:semiHidden/>
    <w:rsid w:val="00673F14"/>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73F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3F14"/>
    <w:rPr>
      <w:rFonts w:ascii="Segoe UI" w:hAnsi="Segoe UI" w:cs="Segoe UI"/>
      <w:sz w:val="18"/>
      <w:szCs w:val="18"/>
    </w:rPr>
  </w:style>
  <w:style w:type="character" w:styleId="PlaceholderText">
    <w:name w:val="Placeholder Text"/>
    <w:basedOn w:val="DefaultParagraphFont"/>
    <w:uiPriority w:val="99"/>
    <w:semiHidden/>
    <w:rsid w:val="00CF47F0"/>
    <w:rPr>
      <w:color w:val="808080"/>
    </w:rPr>
  </w:style>
  <w:style w:type="character" w:styleId="FollowedHyperlink">
    <w:name w:val="FollowedHyperlink"/>
    <w:basedOn w:val="DefaultParagraphFont"/>
    <w:uiPriority w:val="99"/>
    <w:semiHidden/>
    <w:unhideWhenUsed/>
    <w:rsid w:val="000C2F98"/>
    <w:rPr>
      <w:color w:val="954F72" w:themeColor="followedHyperlink"/>
      <w:u w:val="single"/>
    </w:rPr>
  </w:style>
  <w:style w:type="paragraph" w:styleId="Caption">
    <w:name w:val="caption"/>
    <w:basedOn w:val="Normal"/>
    <w:next w:val="Normal"/>
    <w:uiPriority w:val="35"/>
    <w:unhideWhenUsed/>
    <w:qFormat/>
    <w:rsid w:val="00BB0CCE"/>
    <w:pPr>
      <w:spacing w:after="200"/>
    </w:pPr>
    <w:rPr>
      <w:i/>
      <w:iCs/>
      <w:color w:val="44546A" w:themeColor="text2"/>
      <w:sz w:val="18"/>
      <w:szCs w:val="18"/>
    </w:rPr>
  </w:style>
  <w:style w:type="paragraph" w:styleId="Revision">
    <w:name w:val="Revision"/>
    <w:hidden/>
    <w:uiPriority w:val="99"/>
    <w:semiHidden/>
    <w:rsid w:val="00DE1673"/>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65929">
      <w:bodyDiv w:val="1"/>
      <w:marLeft w:val="0"/>
      <w:marRight w:val="0"/>
      <w:marTop w:val="0"/>
      <w:marBottom w:val="0"/>
      <w:divBdr>
        <w:top w:val="none" w:sz="0" w:space="0" w:color="auto"/>
        <w:left w:val="none" w:sz="0" w:space="0" w:color="auto"/>
        <w:bottom w:val="none" w:sz="0" w:space="0" w:color="auto"/>
        <w:right w:val="none" w:sz="0" w:space="0" w:color="auto"/>
      </w:divBdr>
    </w:div>
    <w:div w:id="63645035">
      <w:bodyDiv w:val="1"/>
      <w:marLeft w:val="0"/>
      <w:marRight w:val="0"/>
      <w:marTop w:val="0"/>
      <w:marBottom w:val="0"/>
      <w:divBdr>
        <w:top w:val="none" w:sz="0" w:space="0" w:color="auto"/>
        <w:left w:val="none" w:sz="0" w:space="0" w:color="auto"/>
        <w:bottom w:val="none" w:sz="0" w:space="0" w:color="auto"/>
        <w:right w:val="none" w:sz="0" w:space="0" w:color="auto"/>
      </w:divBdr>
    </w:div>
    <w:div w:id="73166551">
      <w:bodyDiv w:val="1"/>
      <w:marLeft w:val="0"/>
      <w:marRight w:val="0"/>
      <w:marTop w:val="0"/>
      <w:marBottom w:val="0"/>
      <w:divBdr>
        <w:top w:val="none" w:sz="0" w:space="0" w:color="auto"/>
        <w:left w:val="none" w:sz="0" w:space="0" w:color="auto"/>
        <w:bottom w:val="none" w:sz="0" w:space="0" w:color="auto"/>
        <w:right w:val="none" w:sz="0" w:space="0" w:color="auto"/>
      </w:divBdr>
    </w:div>
    <w:div w:id="174270082">
      <w:bodyDiv w:val="1"/>
      <w:marLeft w:val="0"/>
      <w:marRight w:val="0"/>
      <w:marTop w:val="0"/>
      <w:marBottom w:val="0"/>
      <w:divBdr>
        <w:top w:val="none" w:sz="0" w:space="0" w:color="auto"/>
        <w:left w:val="none" w:sz="0" w:space="0" w:color="auto"/>
        <w:bottom w:val="none" w:sz="0" w:space="0" w:color="auto"/>
        <w:right w:val="none" w:sz="0" w:space="0" w:color="auto"/>
      </w:divBdr>
    </w:div>
    <w:div w:id="182475313">
      <w:bodyDiv w:val="1"/>
      <w:marLeft w:val="0"/>
      <w:marRight w:val="0"/>
      <w:marTop w:val="0"/>
      <w:marBottom w:val="0"/>
      <w:divBdr>
        <w:top w:val="none" w:sz="0" w:space="0" w:color="auto"/>
        <w:left w:val="none" w:sz="0" w:space="0" w:color="auto"/>
        <w:bottom w:val="none" w:sz="0" w:space="0" w:color="auto"/>
        <w:right w:val="none" w:sz="0" w:space="0" w:color="auto"/>
      </w:divBdr>
    </w:div>
    <w:div w:id="258873255">
      <w:bodyDiv w:val="1"/>
      <w:marLeft w:val="0"/>
      <w:marRight w:val="0"/>
      <w:marTop w:val="0"/>
      <w:marBottom w:val="0"/>
      <w:divBdr>
        <w:top w:val="none" w:sz="0" w:space="0" w:color="auto"/>
        <w:left w:val="none" w:sz="0" w:space="0" w:color="auto"/>
        <w:bottom w:val="none" w:sz="0" w:space="0" w:color="auto"/>
        <w:right w:val="none" w:sz="0" w:space="0" w:color="auto"/>
      </w:divBdr>
    </w:div>
    <w:div w:id="295523999">
      <w:bodyDiv w:val="1"/>
      <w:marLeft w:val="0"/>
      <w:marRight w:val="0"/>
      <w:marTop w:val="0"/>
      <w:marBottom w:val="0"/>
      <w:divBdr>
        <w:top w:val="none" w:sz="0" w:space="0" w:color="auto"/>
        <w:left w:val="none" w:sz="0" w:space="0" w:color="auto"/>
        <w:bottom w:val="none" w:sz="0" w:space="0" w:color="auto"/>
        <w:right w:val="none" w:sz="0" w:space="0" w:color="auto"/>
      </w:divBdr>
    </w:div>
    <w:div w:id="462890106">
      <w:bodyDiv w:val="1"/>
      <w:marLeft w:val="0"/>
      <w:marRight w:val="0"/>
      <w:marTop w:val="0"/>
      <w:marBottom w:val="0"/>
      <w:divBdr>
        <w:top w:val="none" w:sz="0" w:space="0" w:color="auto"/>
        <w:left w:val="none" w:sz="0" w:space="0" w:color="auto"/>
        <w:bottom w:val="none" w:sz="0" w:space="0" w:color="auto"/>
        <w:right w:val="none" w:sz="0" w:space="0" w:color="auto"/>
      </w:divBdr>
    </w:div>
    <w:div w:id="480124199">
      <w:bodyDiv w:val="1"/>
      <w:marLeft w:val="0"/>
      <w:marRight w:val="0"/>
      <w:marTop w:val="0"/>
      <w:marBottom w:val="0"/>
      <w:divBdr>
        <w:top w:val="none" w:sz="0" w:space="0" w:color="auto"/>
        <w:left w:val="none" w:sz="0" w:space="0" w:color="auto"/>
        <w:bottom w:val="none" w:sz="0" w:space="0" w:color="auto"/>
        <w:right w:val="none" w:sz="0" w:space="0" w:color="auto"/>
      </w:divBdr>
    </w:div>
    <w:div w:id="585699363">
      <w:bodyDiv w:val="1"/>
      <w:marLeft w:val="0"/>
      <w:marRight w:val="0"/>
      <w:marTop w:val="0"/>
      <w:marBottom w:val="0"/>
      <w:divBdr>
        <w:top w:val="none" w:sz="0" w:space="0" w:color="auto"/>
        <w:left w:val="none" w:sz="0" w:space="0" w:color="auto"/>
        <w:bottom w:val="none" w:sz="0" w:space="0" w:color="auto"/>
        <w:right w:val="none" w:sz="0" w:space="0" w:color="auto"/>
      </w:divBdr>
    </w:div>
    <w:div w:id="596257251">
      <w:bodyDiv w:val="1"/>
      <w:marLeft w:val="0"/>
      <w:marRight w:val="0"/>
      <w:marTop w:val="0"/>
      <w:marBottom w:val="0"/>
      <w:divBdr>
        <w:top w:val="none" w:sz="0" w:space="0" w:color="auto"/>
        <w:left w:val="none" w:sz="0" w:space="0" w:color="auto"/>
        <w:bottom w:val="none" w:sz="0" w:space="0" w:color="auto"/>
        <w:right w:val="none" w:sz="0" w:space="0" w:color="auto"/>
      </w:divBdr>
    </w:div>
    <w:div w:id="601032474">
      <w:bodyDiv w:val="1"/>
      <w:marLeft w:val="0"/>
      <w:marRight w:val="0"/>
      <w:marTop w:val="0"/>
      <w:marBottom w:val="0"/>
      <w:divBdr>
        <w:top w:val="none" w:sz="0" w:space="0" w:color="auto"/>
        <w:left w:val="none" w:sz="0" w:space="0" w:color="auto"/>
        <w:bottom w:val="none" w:sz="0" w:space="0" w:color="auto"/>
        <w:right w:val="none" w:sz="0" w:space="0" w:color="auto"/>
      </w:divBdr>
    </w:div>
    <w:div w:id="724136424">
      <w:bodyDiv w:val="1"/>
      <w:marLeft w:val="0"/>
      <w:marRight w:val="0"/>
      <w:marTop w:val="0"/>
      <w:marBottom w:val="0"/>
      <w:divBdr>
        <w:top w:val="none" w:sz="0" w:space="0" w:color="auto"/>
        <w:left w:val="none" w:sz="0" w:space="0" w:color="auto"/>
        <w:bottom w:val="none" w:sz="0" w:space="0" w:color="auto"/>
        <w:right w:val="none" w:sz="0" w:space="0" w:color="auto"/>
      </w:divBdr>
    </w:div>
    <w:div w:id="814764964">
      <w:bodyDiv w:val="1"/>
      <w:marLeft w:val="0"/>
      <w:marRight w:val="0"/>
      <w:marTop w:val="0"/>
      <w:marBottom w:val="0"/>
      <w:divBdr>
        <w:top w:val="none" w:sz="0" w:space="0" w:color="auto"/>
        <w:left w:val="none" w:sz="0" w:space="0" w:color="auto"/>
        <w:bottom w:val="none" w:sz="0" w:space="0" w:color="auto"/>
        <w:right w:val="none" w:sz="0" w:space="0" w:color="auto"/>
      </w:divBdr>
    </w:div>
    <w:div w:id="832918585">
      <w:bodyDiv w:val="1"/>
      <w:marLeft w:val="0"/>
      <w:marRight w:val="0"/>
      <w:marTop w:val="0"/>
      <w:marBottom w:val="0"/>
      <w:divBdr>
        <w:top w:val="none" w:sz="0" w:space="0" w:color="auto"/>
        <w:left w:val="none" w:sz="0" w:space="0" w:color="auto"/>
        <w:bottom w:val="none" w:sz="0" w:space="0" w:color="auto"/>
        <w:right w:val="none" w:sz="0" w:space="0" w:color="auto"/>
      </w:divBdr>
    </w:div>
    <w:div w:id="883904376">
      <w:bodyDiv w:val="1"/>
      <w:marLeft w:val="0"/>
      <w:marRight w:val="0"/>
      <w:marTop w:val="0"/>
      <w:marBottom w:val="0"/>
      <w:divBdr>
        <w:top w:val="none" w:sz="0" w:space="0" w:color="auto"/>
        <w:left w:val="none" w:sz="0" w:space="0" w:color="auto"/>
        <w:bottom w:val="none" w:sz="0" w:space="0" w:color="auto"/>
        <w:right w:val="none" w:sz="0" w:space="0" w:color="auto"/>
      </w:divBdr>
    </w:div>
    <w:div w:id="899513137">
      <w:bodyDiv w:val="1"/>
      <w:marLeft w:val="0"/>
      <w:marRight w:val="0"/>
      <w:marTop w:val="0"/>
      <w:marBottom w:val="0"/>
      <w:divBdr>
        <w:top w:val="none" w:sz="0" w:space="0" w:color="auto"/>
        <w:left w:val="none" w:sz="0" w:space="0" w:color="auto"/>
        <w:bottom w:val="none" w:sz="0" w:space="0" w:color="auto"/>
        <w:right w:val="none" w:sz="0" w:space="0" w:color="auto"/>
      </w:divBdr>
    </w:div>
    <w:div w:id="929778674">
      <w:bodyDiv w:val="1"/>
      <w:marLeft w:val="0"/>
      <w:marRight w:val="0"/>
      <w:marTop w:val="0"/>
      <w:marBottom w:val="0"/>
      <w:divBdr>
        <w:top w:val="none" w:sz="0" w:space="0" w:color="auto"/>
        <w:left w:val="none" w:sz="0" w:space="0" w:color="auto"/>
        <w:bottom w:val="none" w:sz="0" w:space="0" w:color="auto"/>
        <w:right w:val="none" w:sz="0" w:space="0" w:color="auto"/>
      </w:divBdr>
    </w:div>
    <w:div w:id="982538391">
      <w:bodyDiv w:val="1"/>
      <w:marLeft w:val="0"/>
      <w:marRight w:val="0"/>
      <w:marTop w:val="0"/>
      <w:marBottom w:val="0"/>
      <w:divBdr>
        <w:top w:val="none" w:sz="0" w:space="0" w:color="auto"/>
        <w:left w:val="none" w:sz="0" w:space="0" w:color="auto"/>
        <w:bottom w:val="none" w:sz="0" w:space="0" w:color="auto"/>
        <w:right w:val="none" w:sz="0" w:space="0" w:color="auto"/>
      </w:divBdr>
    </w:div>
    <w:div w:id="1073163462">
      <w:bodyDiv w:val="1"/>
      <w:marLeft w:val="0"/>
      <w:marRight w:val="0"/>
      <w:marTop w:val="0"/>
      <w:marBottom w:val="0"/>
      <w:divBdr>
        <w:top w:val="none" w:sz="0" w:space="0" w:color="auto"/>
        <w:left w:val="none" w:sz="0" w:space="0" w:color="auto"/>
        <w:bottom w:val="none" w:sz="0" w:space="0" w:color="auto"/>
        <w:right w:val="none" w:sz="0" w:space="0" w:color="auto"/>
      </w:divBdr>
    </w:div>
    <w:div w:id="1083838092">
      <w:bodyDiv w:val="1"/>
      <w:marLeft w:val="0"/>
      <w:marRight w:val="0"/>
      <w:marTop w:val="0"/>
      <w:marBottom w:val="0"/>
      <w:divBdr>
        <w:top w:val="none" w:sz="0" w:space="0" w:color="auto"/>
        <w:left w:val="none" w:sz="0" w:space="0" w:color="auto"/>
        <w:bottom w:val="none" w:sz="0" w:space="0" w:color="auto"/>
        <w:right w:val="none" w:sz="0" w:space="0" w:color="auto"/>
      </w:divBdr>
    </w:div>
    <w:div w:id="1136336103">
      <w:bodyDiv w:val="1"/>
      <w:marLeft w:val="0"/>
      <w:marRight w:val="0"/>
      <w:marTop w:val="0"/>
      <w:marBottom w:val="0"/>
      <w:divBdr>
        <w:top w:val="none" w:sz="0" w:space="0" w:color="auto"/>
        <w:left w:val="none" w:sz="0" w:space="0" w:color="auto"/>
        <w:bottom w:val="none" w:sz="0" w:space="0" w:color="auto"/>
        <w:right w:val="none" w:sz="0" w:space="0" w:color="auto"/>
      </w:divBdr>
    </w:div>
    <w:div w:id="1166092157">
      <w:bodyDiv w:val="1"/>
      <w:marLeft w:val="0"/>
      <w:marRight w:val="0"/>
      <w:marTop w:val="0"/>
      <w:marBottom w:val="0"/>
      <w:divBdr>
        <w:top w:val="none" w:sz="0" w:space="0" w:color="auto"/>
        <w:left w:val="none" w:sz="0" w:space="0" w:color="auto"/>
        <w:bottom w:val="none" w:sz="0" w:space="0" w:color="auto"/>
        <w:right w:val="none" w:sz="0" w:space="0" w:color="auto"/>
      </w:divBdr>
    </w:div>
    <w:div w:id="1189028557">
      <w:bodyDiv w:val="1"/>
      <w:marLeft w:val="0"/>
      <w:marRight w:val="0"/>
      <w:marTop w:val="0"/>
      <w:marBottom w:val="0"/>
      <w:divBdr>
        <w:top w:val="none" w:sz="0" w:space="0" w:color="auto"/>
        <w:left w:val="none" w:sz="0" w:space="0" w:color="auto"/>
        <w:bottom w:val="none" w:sz="0" w:space="0" w:color="auto"/>
        <w:right w:val="none" w:sz="0" w:space="0" w:color="auto"/>
      </w:divBdr>
    </w:div>
    <w:div w:id="1211112950">
      <w:bodyDiv w:val="1"/>
      <w:marLeft w:val="0"/>
      <w:marRight w:val="0"/>
      <w:marTop w:val="0"/>
      <w:marBottom w:val="0"/>
      <w:divBdr>
        <w:top w:val="none" w:sz="0" w:space="0" w:color="auto"/>
        <w:left w:val="none" w:sz="0" w:space="0" w:color="auto"/>
        <w:bottom w:val="none" w:sz="0" w:space="0" w:color="auto"/>
        <w:right w:val="none" w:sz="0" w:space="0" w:color="auto"/>
      </w:divBdr>
    </w:div>
    <w:div w:id="1451047423">
      <w:bodyDiv w:val="1"/>
      <w:marLeft w:val="0"/>
      <w:marRight w:val="0"/>
      <w:marTop w:val="0"/>
      <w:marBottom w:val="0"/>
      <w:divBdr>
        <w:top w:val="none" w:sz="0" w:space="0" w:color="auto"/>
        <w:left w:val="none" w:sz="0" w:space="0" w:color="auto"/>
        <w:bottom w:val="none" w:sz="0" w:space="0" w:color="auto"/>
        <w:right w:val="none" w:sz="0" w:space="0" w:color="auto"/>
      </w:divBdr>
    </w:div>
    <w:div w:id="1639531801">
      <w:bodyDiv w:val="1"/>
      <w:marLeft w:val="0"/>
      <w:marRight w:val="0"/>
      <w:marTop w:val="0"/>
      <w:marBottom w:val="0"/>
      <w:divBdr>
        <w:top w:val="none" w:sz="0" w:space="0" w:color="auto"/>
        <w:left w:val="none" w:sz="0" w:space="0" w:color="auto"/>
        <w:bottom w:val="none" w:sz="0" w:space="0" w:color="auto"/>
        <w:right w:val="none" w:sz="0" w:space="0" w:color="auto"/>
      </w:divBdr>
      <w:divsChild>
        <w:div w:id="1983342495">
          <w:marLeft w:val="0"/>
          <w:marRight w:val="0"/>
          <w:marTop w:val="0"/>
          <w:marBottom w:val="0"/>
          <w:divBdr>
            <w:top w:val="none" w:sz="0" w:space="0" w:color="auto"/>
            <w:left w:val="none" w:sz="0" w:space="0" w:color="auto"/>
            <w:bottom w:val="none" w:sz="0" w:space="0" w:color="auto"/>
            <w:right w:val="none" w:sz="0" w:space="0" w:color="auto"/>
          </w:divBdr>
          <w:divsChild>
            <w:div w:id="110507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716110">
      <w:bodyDiv w:val="1"/>
      <w:marLeft w:val="0"/>
      <w:marRight w:val="0"/>
      <w:marTop w:val="0"/>
      <w:marBottom w:val="0"/>
      <w:divBdr>
        <w:top w:val="none" w:sz="0" w:space="0" w:color="auto"/>
        <w:left w:val="none" w:sz="0" w:space="0" w:color="auto"/>
        <w:bottom w:val="none" w:sz="0" w:space="0" w:color="auto"/>
        <w:right w:val="none" w:sz="0" w:space="0" w:color="auto"/>
      </w:divBdr>
    </w:div>
    <w:div w:id="1685784781">
      <w:bodyDiv w:val="1"/>
      <w:marLeft w:val="0"/>
      <w:marRight w:val="0"/>
      <w:marTop w:val="0"/>
      <w:marBottom w:val="0"/>
      <w:divBdr>
        <w:top w:val="none" w:sz="0" w:space="0" w:color="auto"/>
        <w:left w:val="none" w:sz="0" w:space="0" w:color="auto"/>
        <w:bottom w:val="none" w:sz="0" w:space="0" w:color="auto"/>
        <w:right w:val="none" w:sz="0" w:space="0" w:color="auto"/>
      </w:divBdr>
    </w:div>
    <w:div w:id="1737168121">
      <w:bodyDiv w:val="1"/>
      <w:marLeft w:val="0"/>
      <w:marRight w:val="0"/>
      <w:marTop w:val="0"/>
      <w:marBottom w:val="0"/>
      <w:divBdr>
        <w:top w:val="none" w:sz="0" w:space="0" w:color="auto"/>
        <w:left w:val="none" w:sz="0" w:space="0" w:color="auto"/>
        <w:bottom w:val="none" w:sz="0" w:space="0" w:color="auto"/>
        <w:right w:val="none" w:sz="0" w:space="0" w:color="auto"/>
      </w:divBdr>
    </w:div>
    <w:div w:id="1755979430">
      <w:bodyDiv w:val="1"/>
      <w:marLeft w:val="0"/>
      <w:marRight w:val="0"/>
      <w:marTop w:val="0"/>
      <w:marBottom w:val="0"/>
      <w:divBdr>
        <w:top w:val="none" w:sz="0" w:space="0" w:color="auto"/>
        <w:left w:val="none" w:sz="0" w:space="0" w:color="auto"/>
        <w:bottom w:val="none" w:sz="0" w:space="0" w:color="auto"/>
        <w:right w:val="none" w:sz="0" w:space="0" w:color="auto"/>
      </w:divBdr>
    </w:div>
    <w:div w:id="1851603510">
      <w:bodyDiv w:val="1"/>
      <w:marLeft w:val="0"/>
      <w:marRight w:val="0"/>
      <w:marTop w:val="0"/>
      <w:marBottom w:val="0"/>
      <w:divBdr>
        <w:top w:val="none" w:sz="0" w:space="0" w:color="auto"/>
        <w:left w:val="none" w:sz="0" w:space="0" w:color="auto"/>
        <w:bottom w:val="none" w:sz="0" w:space="0" w:color="auto"/>
        <w:right w:val="none" w:sz="0" w:space="0" w:color="auto"/>
      </w:divBdr>
    </w:div>
    <w:div w:id="1854759247">
      <w:bodyDiv w:val="1"/>
      <w:marLeft w:val="0"/>
      <w:marRight w:val="0"/>
      <w:marTop w:val="0"/>
      <w:marBottom w:val="0"/>
      <w:divBdr>
        <w:top w:val="none" w:sz="0" w:space="0" w:color="auto"/>
        <w:left w:val="none" w:sz="0" w:space="0" w:color="auto"/>
        <w:bottom w:val="none" w:sz="0" w:space="0" w:color="auto"/>
        <w:right w:val="none" w:sz="0" w:space="0" w:color="auto"/>
      </w:divBdr>
    </w:div>
    <w:div w:id="1863779705">
      <w:bodyDiv w:val="1"/>
      <w:marLeft w:val="0"/>
      <w:marRight w:val="0"/>
      <w:marTop w:val="0"/>
      <w:marBottom w:val="0"/>
      <w:divBdr>
        <w:top w:val="none" w:sz="0" w:space="0" w:color="auto"/>
        <w:left w:val="none" w:sz="0" w:space="0" w:color="auto"/>
        <w:bottom w:val="none" w:sz="0" w:space="0" w:color="auto"/>
        <w:right w:val="none" w:sz="0" w:space="0" w:color="auto"/>
      </w:divBdr>
    </w:div>
    <w:div w:id="1903830096">
      <w:bodyDiv w:val="1"/>
      <w:marLeft w:val="0"/>
      <w:marRight w:val="0"/>
      <w:marTop w:val="0"/>
      <w:marBottom w:val="0"/>
      <w:divBdr>
        <w:top w:val="none" w:sz="0" w:space="0" w:color="auto"/>
        <w:left w:val="none" w:sz="0" w:space="0" w:color="auto"/>
        <w:bottom w:val="none" w:sz="0" w:space="0" w:color="auto"/>
        <w:right w:val="none" w:sz="0" w:space="0" w:color="auto"/>
      </w:divBdr>
    </w:div>
    <w:div w:id="1913075967">
      <w:bodyDiv w:val="1"/>
      <w:marLeft w:val="0"/>
      <w:marRight w:val="0"/>
      <w:marTop w:val="0"/>
      <w:marBottom w:val="0"/>
      <w:divBdr>
        <w:top w:val="none" w:sz="0" w:space="0" w:color="auto"/>
        <w:left w:val="none" w:sz="0" w:space="0" w:color="auto"/>
        <w:bottom w:val="none" w:sz="0" w:space="0" w:color="auto"/>
        <w:right w:val="none" w:sz="0" w:space="0" w:color="auto"/>
      </w:divBdr>
    </w:div>
    <w:div w:id="1951159366">
      <w:bodyDiv w:val="1"/>
      <w:marLeft w:val="0"/>
      <w:marRight w:val="0"/>
      <w:marTop w:val="0"/>
      <w:marBottom w:val="0"/>
      <w:divBdr>
        <w:top w:val="none" w:sz="0" w:space="0" w:color="auto"/>
        <w:left w:val="none" w:sz="0" w:space="0" w:color="auto"/>
        <w:bottom w:val="none" w:sz="0" w:space="0" w:color="auto"/>
        <w:right w:val="none" w:sz="0" w:space="0" w:color="auto"/>
      </w:divBdr>
    </w:div>
    <w:div w:id="1994869374">
      <w:bodyDiv w:val="1"/>
      <w:marLeft w:val="0"/>
      <w:marRight w:val="0"/>
      <w:marTop w:val="0"/>
      <w:marBottom w:val="0"/>
      <w:divBdr>
        <w:top w:val="none" w:sz="0" w:space="0" w:color="auto"/>
        <w:left w:val="none" w:sz="0" w:space="0" w:color="auto"/>
        <w:bottom w:val="none" w:sz="0" w:space="0" w:color="auto"/>
        <w:right w:val="none" w:sz="0" w:space="0" w:color="auto"/>
      </w:divBdr>
    </w:div>
    <w:div w:id="2016760055">
      <w:bodyDiv w:val="1"/>
      <w:marLeft w:val="0"/>
      <w:marRight w:val="0"/>
      <w:marTop w:val="0"/>
      <w:marBottom w:val="0"/>
      <w:divBdr>
        <w:top w:val="none" w:sz="0" w:space="0" w:color="auto"/>
        <w:left w:val="none" w:sz="0" w:space="0" w:color="auto"/>
        <w:bottom w:val="none" w:sz="0" w:space="0" w:color="auto"/>
        <w:right w:val="none" w:sz="0" w:space="0" w:color="auto"/>
      </w:divBdr>
    </w:div>
    <w:div w:id="2036534339">
      <w:bodyDiv w:val="1"/>
      <w:marLeft w:val="0"/>
      <w:marRight w:val="0"/>
      <w:marTop w:val="0"/>
      <w:marBottom w:val="0"/>
      <w:divBdr>
        <w:top w:val="none" w:sz="0" w:space="0" w:color="auto"/>
        <w:left w:val="none" w:sz="0" w:space="0" w:color="auto"/>
        <w:bottom w:val="none" w:sz="0" w:space="0" w:color="auto"/>
        <w:right w:val="none" w:sz="0" w:space="0" w:color="auto"/>
      </w:divBdr>
    </w:div>
    <w:div w:id="2055039012">
      <w:bodyDiv w:val="1"/>
      <w:marLeft w:val="0"/>
      <w:marRight w:val="0"/>
      <w:marTop w:val="0"/>
      <w:marBottom w:val="0"/>
      <w:divBdr>
        <w:top w:val="none" w:sz="0" w:space="0" w:color="auto"/>
        <w:left w:val="none" w:sz="0" w:space="0" w:color="auto"/>
        <w:bottom w:val="none" w:sz="0" w:space="0" w:color="auto"/>
        <w:right w:val="none" w:sz="0" w:space="0" w:color="auto"/>
      </w:divBdr>
    </w:div>
    <w:div w:id="211081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21" Type="http://schemas.openxmlformats.org/officeDocument/2006/relationships/oleObject" Target="embeddings/oleObject7.bin"/><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hyperlink" Target="http://www.epa.gov/airquality/ozonepollution/pdfs/20141125ria.pdf%3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hyperlink" Target="http://www.epa.gov/airquality/ozonepollution/pdfs/20141125ria.pdf%3e" TargetMode="External"/><Relationship Id="rId36"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3A443-649B-4C75-9435-D07CB8F42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1615</Words>
  <Characters>9210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2017-01-19T06:18:00Z</dcterms:created>
  <dcterms:modified xsi:type="dcterms:W3CDTF">2017-01-19T06:18:00Z</dcterms:modified>
</cp:coreProperties>
</file>